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C4B04F4">
      <w:pPr>
        <w:jc w:val="center"/>
        <w:rPr>
          <w:rFonts w:hint="eastAsia"/>
          <w:sz w:val="44"/>
          <w:szCs w:val="44"/>
          <w:lang w:val="en-US" w:eastAsia="zh-CN"/>
        </w:rPr>
      </w:pPr>
      <w:r>
        <w:rPr>
          <w:rFonts w:hint="eastAsia"/>
          <w:sz w:val="44"/>
          <w:szCs w:val="44"/>
          <w:lang w:val="en-US" w:eastAsia="zh-CN"/>
        </w:rPr>
        <w:t>长三角区域地方标准</w:t>
      </w:r>
    </w:p>
    <w:p w14:paraId="7A1E507F">
      <w:pPr>
        <w:jc w:val="center"/>
        <w:rPr>
          <w:rFonts w:hint="eastAsia"/>
          <w:sz w:val="44"/>
          <w:szCs w:val="44"/>
          <w:lang w:val="en-US" w:eastAsia="zh-CN"/>
        </w:rPr>
      </w:pPr>
      <w:r>
        <w:rPr>
          <w:rFonts w:hint="eastAsia"/>
          <w:sz w:val="44"/>
          <w:szCs w:val="44"/>
          <w:lang w:val="en-US" w:eastAsia="zh-CN"/>
        </w:rPr>
        <w:t>《地质灾害风险调查与评价规范》</w:t>
      </w:r>
    </w:p>
    <w:p w14:paraId="0D69EEAE">
      <w:pPr>
        <w:jc w:val="center"/>
        <w:rPr>
          <w:rFonts w:hint="eastAsia"/>
          <w:sz w:val="44"/>
          <w:szCs w:val="44"/>
          <w:lang w:val="en-US" w:eastAsia="zh-CN"/>
        </w:rPr>
      </w:pPr>
      <w:r>
        <w:rPr>
          <w:rFonts w:hint="eastAsia"/>
          <w:sz w:val="44"/>
          <w:szCs w:val="44"/>
          <w:lang w:val="en-US" w:eastAsia="zh-CN"/>
        </w:rPr>
        <w:t>编制说明（征求意见稿）</w:t>
      </w:r>
    </w:p>
    <w:p w14:paraId="59BFCD74">
      <w:pPr>
        <w:jc w:val="center"/>
        <w:rPr>
          <w:rFonts w:hint="eastAsia"/>
          <w:sz w:val="44"/>
          <w:szCs w:val="44"/>
          <w:lang w:val="en-US" w:eastAsia="zh-CN"/>
        </w:rPr>
      </w:pPr>
    </w:p>
    <w:p w14:paraId="0049C2D3">
      <w:pPr>
        <w:jc w:val="both"/>
        <w:rPr>
          <w:rFonts w:hint="eastAsia"/>
          <w:sz w:val="44"/>
          <w:szCs w:val="44"/>
          <w:lang w:val="en-US" w:eastAsia="zh-CN"/>
        </w:rPr>
      </w:pPr>
    </w:p>
    <w:p w14:paraId="59A3391D">
      <w:pPr>
        <w:jc w:val="center"/>
        <w:rPr>
          <w:rFonts w:hint="eastAsia"/>
          <w:sz w:val="44"/>
          <w:szCs w:val="44"/>
          <w:lang w:val="en-US" w:eastAsia="zh-CN"/>
        </w:rPr>
      </w:pPr>
      <w:bookmarkStart w:id="12" w:name="_GoBack"/>
    </w:p>
    <w:p w14:paraId="2A495CDC">
      <w:pPr>
        <w:jc w:val="center"/>
        <w:rPr>
          <w:rFonts w:hint="eastAsia"/>
          <w:sz w:val="44"/>
          <w:szCs w:val="44"/>
          <w:lang w:val="en-US" w:eastAsia="zh-CN"/>
        </w:rPr>
      </w:pPr>
    </w:p>
    <w:bookmarkEnd w:id="12"/>
    <w:p w14:paraId="3FA24C1D">
      <w:pPr>
        <w:jc w:val="center"/>
        <w:rPr>
          <w:rFonts w:hint="eastAsia"/>
          <w:sz w:val="44"/>
          <w:szCs w:val="44"/>
          <w:lang w:val="en-US" w:eastAsia="zh-CN"/>
        </w:rPr>
      </w:pPr>
    </w:p>
    <w:p w14:paraId="6E2840CC">
      <w:pPr>
        <w:jc w:val="center"/>
        <w:rPr>
          <w:rFonts w:hint="eastAsia"/>
          <w:sz w:val="44"/>
          <w:szCs w:val="44"/>
          <w:lang w:val="en-US" w:eastAsia="zh-CN"/>
        </w:rPr>
      </w:pPr>
    </w:p>
    <w:p w14:paraId="1DEE4327">
      <w:pPr>
        <w:jc w:val="center"/>
        <w:rPr>
          <w:rFonts w:hint="eastAsia"/>
          <w:sz w:val="44"/>
          <w:szCs w:val="44"/>
          <w:lang w:val="en-US" w:eastAsia="zh-CN"/>
        </w:rPr>
      </w:pPr>
    </w:p>
    <w:p w14:paraId="762313E9">
      <w:pPr>
        <w:jc w:val="center"/>
        <w:rPr>
          <w:rFonts w:hint="eastAsia"/>
          <w:sz w:val="44"/>
          <w:szCs w:val="44"/>
          <w:lang w:val="en-US" w:eastAsia="zh-CN"/>
        </w:rPr>
      </w:pPr>
    </w:p>
    <w:p w14:paraId="45B20940">
      <w:pPr>
        <w:jc w:val="center"/>
        <w:rPr>
          <w:rFonts w:hint="eastAsia"/>
          <w:sz w:val="44"/>
          <w:szCs w:val="44"/>
          <w:lang w:val="en-US" w:eastAsia="zh-CN"/>
        </w:rPr>
      </w:pPr>
    </w:p>
    <w:p w14:paraId="5D918D65">
      <w:pPr>
        <w:jc w:val="center"/>
        <w:rPr>
          <w:rFonts w:hint="eastAsia"/>
          <w:sz w:val="44"/>
          <w:szCs w:val="44"/>
          <w:lang w:val="en-US" w:eastAsia="zh-CN"/>
        </w:rPr>
      </w:pPr>
    </w:p>
    <w:p w14:paraId="427AA9A4">
      <w:pPr>
        <w:jc w:val="center"/>
        <w:rPr>
          <w:rFonts w:hint="eastAsia"/>
          <w:sz w:val="44"/>
          <w:szCs w:val="44"/>
          <w:lang w:val="en-US" w:eastAsia="zh-CN"/>
        </w:rPr>
      </w:pPr>
    </w:p>
    <w:p w14:paraId="7C04EDBB">
      <w:pPr>
        <w:jc w:val="center"/>
        <w:rPr>
          <w:rFonts w:hint="eastAsia"/>
          <w:sz w:val="44"/>
          <w:szCs w:val="44"/>
          <w:lang w:val="en-US" w:eastAsia="zh-CN"/>
        </w:rPr>
      </w:pPr>
    </w:p>
    <w:p w14:paraId="1083CA7C">
      <w:pPr>
        <w:jc w:val="center"/>
        <w:rPr>
          <w:rFonts w:hint="eastAsia"/>
          <w:sz w:val="44"/>
          <w:szCs w:val="44"/>
          <w:lang w:val="en-US" w:eastAsia="zh-CN"/>
        </w:rPr>
      </w:pPr>
    </w:p>
    <w:p w14:paraId="013C1644">
      <w:pPr>
        <w:jc w:val="center"/>
        <w:rPr>
          <w:rFonts w:hint="eastAsia"/>
          <w:sz w:val="44"/>
          <w:szCs w:val="44"/>
          <w:lang w:val="en-US" w:eastAsia="zh-CN"/>
        </w:rPr>
      </w:pPr>
    </w:p>
    <w:p w14:paraId="051844AB">
      <w:pPr>
        <w:jc w:val="center"/>
        <w:rPr>
          <w:rFonts w:hint="eastAsia"/>
          <w:sz w:val="44"/>
          <w:szCs w:val="44"/>
          <w:lang w:val="en-US" w:eastAsia="zh-CN"/>
        </w:rPr>
      </w:pPr>
    </w:p>
    <w:p w14:paraId="01454BCB">
      <w:pPr>
        <w:jc w:val="center"/>
        <w:rPr>
          <w:rFonts w:hint="eastAsia"/>
          <w:sz w:val="44"/>
          <w:szCs w:val="44"/>
          <w:lang w:val="en-US" w:eastAsia="zh-CN"/>
        </w:rPr>
      </w:pPr>
    </w:p>
    <w:p w14:paraId="2E94E870">
      <w:pPr>
        <w:jc w:val="center"/>
        <w:rPr>
          <w:rFonts w:hint="eastAsia"/>
          <w:sz w:val="44"/>
          <w:szCs w:val="44"/>
          <w:lang w:val="en-US" w:eastAsia="zh-CN"/>
        </w:rPr>
      </w:pPr>
    </w:p>
    <w:p w14:paraId="5EF27067">
      <w:pPr>
        <w:jc w:val="center"/>
        <w:rPr>
          <w:rFonts w:hint="eastAsia"/>
          <w:sz w:val="32"/>
          <w:szCs w:val="32"/>
          <w:lang w:val="en-US" w:eastAsia="zh-CN"/>
        </w:rPr>
      </w:pPr>
      <w:r>
        <w:rPr>
          <w:rFonts w:hint="eastAsia"/>
          <w:sz w:val="32"/>
          <w:szCs w:val="32"/>
          <w:lang w:val="en-US" w:eastAsia="zh-CN"/>
        </w:rPr>
        <w:t>标准起草组</w:t>
      </w:r>
    </w:p>
    <w:p w14:paraId="06F1D64C">
      <w:pPr>
        <w:jc w:val="center"/>
        <w:rPr>
          <w:rFonts w:hint="eastAsia"/>
          <w:sz w:val="32"/>
          <w:szCs w:val="32"/>
          <w:lang w:val="en-US" w:eastAsia="zh-CN"/>
        </w:rPr>
      </w:pPr>
      <w:r>
        <w:rPr>
          <w:rFonts w:hint="eastAsia"/>
          <w:sz w:val="32"/>
          <w:szCs w:val="32"/>
          <w:lang w:val="en-US" w:eastAsia="zh-CN"/>
        </w:rPr>
        <w:t>二〇二四年九月</w:t>
      </w:r>
    </w:p>
    <w:p w14:paraId="2F599130">
      <w:pPr>
        <w:jc w:val="center"/>
        <w:rPr>
          <w:rFonts w:hint="eastAsia"/>
          <w:sz w:val="32"/>
          <w:szCs w:val="32"/>
          <w:lang w:val="en-US" w:eastAsia="zh-CN"/>
        </w:rPr>
      </w:pPr>
    </w:p>
    <w:p w14:paraId="483F8D07">
      <w:pPr>
        <w:jc w:val="center"/>
        <w:rPr>
          <w:rFonts w:hint="eastAsia"/>
          <w:sz w:val="32"/>
          <w:szCs w:val="32"/>
          <w:lang w:val="en-US" w:eastAsia="zh-CN"/>
        </w:rPr>
      </w:pPr>
    </w:p>
    <w:sdt>
      <w:sdtPr>
        <w:rPr>
          <w:rFonts w:ascii="宋体" w:hAnsi="宋体" w:eastAsia="宋体" w:cstheme="minorBidi"/>
          <w:kern w:val="2"/>
          <w:sz w:val="21"/>
          <w:szCs w:val="24"/>
          <w:lang w:val="en-US" w:eastAsia="zh-CN" w:bidi="ar-SA"/>
        </w:rPr>
        <w:id w:val="147465933"/>
        <w15:color w:val="DBDBDB"/>
        <w:docPartObj>
          <w:docPartGallery w:val="Table of Contents"/>
          <w:docPartUnique/>
        </w:docPartObj>
      </w:sdtPr>
      <w:sdtEndPr>
        <w:rPr>
          <w:rFonts w:hint="eastAsia" w:ascii="仿宋_GB2312" w:hAnsi="仿宋_GB2312" w:eastAsia="仿宋_GB2312" w:cs="仿宋_GB2312"/>
          <w:kern w:val="2"/>
          <w:sz w:val="32"/>
          <w:szCs w:val="32"/>
          <w:lang w:val="en-US" w:eastAsia="zh-CN" w:bidi="ar-SA"/>
        </w:rPr>
      </w:sdtEndPr>
      <w:sdtContent>
        <w:p w14:paraId="496CA9E2">
          <w:pPr>
            <w:spacing w:before="0" w:beforeLines="0" w:after="0" w:afterLines="0" w:line="240" w:lineRule="auto"/>
            <w:ind w:left="0" w:leftChars="0" w:right="0" w:rightChars="0" w:firstLine="0" w:firstLineChars="0"/>
            <w:jc w:val="center"/>
            <w:rPr>
              <w:rFonts w:hint="eastAsia" w:eastAsia="宋体"/>
              <w:lang w:eastAsia="zh-CN"/>
            </w:rPr>
          </w:pPr>
          <w:r>
            <w:rPr>
              <w:rFonts w:hint="eastAsia" w:ascii="黑体" w:hAnsi="黑体" w:eastAsia="黑体" w:cs="黑体"/>
              <w:sz w:val="32"/>
              <w:szCs w:val="40"/>
            </w:rPr>
            <w:t>目</w:t>
          </w:r>
          <w:r>
            <w:rPr>
              <w:rFonts w:hint="eastAsia" w:ascii="黑体" w:hAnsi="黑体" w:eastAsia="黑体" w:cs="黑体"/>
              <w:sz w:val="32"/>
              <w:szCs w:val="40"/>
              <w:lang w:val="en-US" w:eastAsia="zh-CN"/>
            </w:rPr>
            <w:t xml:space="preserve"> 次</w:t>
          </w:r>
        </w:p>
        <w:p w14:paraId="0E72D1AC">
          <w:pPr>
            <w:pStyle w:val="7"/>
            <w:keepNext w:val="0"/>
            <w:keepLines w:val="0"/>
            <w:pageBreakBefore w:val="0"/>
            <w:tabs>
              <w:tab w:val="right" w:leader="dot" w:pos="8306"/>
            </w:tabs>
            <w:kinsoku/>
            <w:wordWrap/>
            <w:overflowPunct/>
            <w:topLinePunct w:val="0"/>
            <w:autoSpaceDE/>
            <w:autoSpaceDN/>
            <w:bidi w:val="0"/>
            <w:adjustRightInd/>
            <w:snapToGrid/>
            <w:spacing w:line="360" w:lineRule="auto"/>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fldChar w:fldCharType="begin"/>
          </w:r>
          <w:r>
            <w:rPr>
              <w:rFonts w:hint="eastAsia" w:ascii="仿宋_GB2312" w:hAnsi="仿宋_GB2312" w:eastAsia="仿宋_GB2312" w:cs="仿宋_GB2312"/>
              <w:sz w:val="30"/>
              <w:szCs w:val="30"/>
              <w:lang w:val="en-US" w:eastAsia="zh-CN"/>
            </w:rPr>
            <w:instrText xml:space="preserve">TOC \o "1-1" \h \u </w:instrText>
          </w:r>
          <w:r>
            <w:rPr>
              <w:rFonts w:hint="eastAsia" w:ascii="仿宋_GB2312" w:hAnsi="仿宋_GB2312" w:eastAsia="仿宋_GB2312" w:cs="仿宋_GB2312"/>
              <w:sz w:val="30"/>
              <w:szCs w:val="30"/>
              <w:lang w:val="en-US" w:eastAsia="zh-CN"/>
            </w:rPr>
            <w:fldChar w:fldCharType="separate"/>
          </w:r>
          <w:r>
            <w:rPr>
              <w:rFonts w:hint="eastAsia" w:ascii="仿宋_GB2312" w:hAnsi="仿宋_GB2312" w:eastAsia="仿宋_GB2312" w:cs="仿宋_GB2312"/>
              <w:sz w:val="30"/>
              <w:szCs w:val="30"/>
              <w:lang w:val="en-US" w:eastAsia="zh-CN"/>
            </w:rPr>
            <w:fldChar w:fldCharType="begin"/>
          </w:r>
          <w:r>
            <w:rPr>
              <w:rFonts w:hint="eastAsia" w:ascii="仿宋_GB2312" w:hAnsi="仿宋_GB2312" w:eastAsia="仿宋_GB2312" w:cs="仿宋_GB2312"/>
              <w:sz w:val="30"/>
              <w:szCs w:val="30"/>
              <w:lang w:val="en-US" w:eastAsia="zh-CN"/>
            </w:rPr>
            <w:instrText xml:space="preserve"> HYPERLINK \l _Toc23349 </w:instrText>
          </w:r>
          <w:r>
            <w:rPr>
              <w:rFonts w:hint="eastAsia" w:ascii="仿宋_GB2312" w:hAnsi="仿宋_GB2312" w:eastAsia="仿宋_GB2312" w:cs="仿宋_GB2312"/>
              <w:sz w:val="30"/>
              <w:szCs w:val="30"/>
              <w:lang w:val="en-US" w:eastAsia="zh-CN"/>
            </w:rPr>
            <w:fldChar w:fldCharType="separate"/>
          </w:r>
          <w:r>
            <w:rPr>
              <w:rFonts w:hint="eastAsia" w:ascii="仿宋_GB2312" w:hAnsi="仿宋_GB2312" w:eastAsia="仿宋_GB2312" w:cs="仿宋_GB2312"/>
              <w:kern w:val="2"/>
              <w:sz w:val="30"/>
              <w:szCs w:val="30"/>
              <w:lang w:val="en-US" w:eastAsia="zh-CN" w:bidi="ar-SA"/>
            </w:rPr>
            <w:t>一、任务来源</w:t>
          </w:r>
          <w:r>
            <w:rPr>
              <w:rFonts w:hint="eastAsia" w:ascii="仿宋_GB2312" w:hAnsi="仿宋_GB2312" w:eastAsia="仿宋_GB2312" w:cs="仿宋_GB2312"/>
              <w:sz w:val="30"/>
              <w:szCs w:val="30"/>
            </w:rPr>
            <w:tab/>
          </w:r>
          <w:r>
            <w:rPr>
              <w:rFonts w:hint="eastAsia" w:ascii="仿宋_GB2312" w:hAnsi="仿宋_GB2312" w:eastAsia="仿宋_GB2312" w:cs="仿宋_GB2312"/>
              <w:sz w:val="30"/>
              <w:szCs w:val="30"/>
            </w:rPr>
            <w:fldChar w:fldCharType="begin"/>
          </w:r>
          <w:r>
            <w:rPr>
              <w:rFonts w:hint="eastAsia" w:ascii="仿宋_GB2312" w:hAnsi="仿宋_GB2312" w:eastAsia="仿宋_GB2312" w:cs="仿宋_GB2312"/>
              <w:sz w:val="30"/>
              <w:szCs w:val="30"/>
            </w:rPr>
            <w:instrText xml:space="preserve"> PAGEREF _Toc23349 \h </w:instrText>
          </w:r>
          <w:r>
            <w:rPr>
              <w:rFonts w:hint="eastAsia" w:ascii="仿宋_GB2312" w:hAnsi="仿宋_GB2312" w:eastAsia="仿宋_GB2312" w:cs="仿宋_GB2312"/>
              <w:sz w:val="30"/>
              <w:szCs w:val="30"/>
            </w:rPr>
            <w:fldChar w:fldCharType="separate"/>
          </w:r>
          <w:r>
            <w:rPr>
              <w:rFonts w:hint="eastAsia" w:ascii="仿宋_GB2312" w:hAnsi="仿宋_GB2312" w:eastAsia="仿宋_GB2312" w:cs="仿宋_GB2312"/>
              <w:sz w:val="30"/>
              <w:szCs w:val="30"/>
            </w:rPr>
            <w:t>1</w:t>
          </w:r>
          <w:r>
            <w:rPr>
              <w:rFonts w:hint="eastAsia" w:ascii="仿宋_GB2312" w:hAnsi="仿宋_GB2312" w:eastAsia="仿宋_GB2312" w:cs="仿宋_GB2312"/>
              <w:sz w:val="30"/>
              <w:szCs w:val="30"/>
            </w:rPr>
            <w:fldChar w:fldCharType="end"/>
          </w:r>
          <w:r>
            <w:rPr>
              <w:rFonts w:hint="eastAsia" w:ascii="仿宋_GB2312" w:hAnsi="仿宋_GB2312" w:eastAsia="仿宋_GB2312" w:cs="仿宋_GB2312"/>
              <w:sz w:val="30"/>
              <w:szCs w:val="30"/>
              <w:lang w:val="en-US" w:eastAsia="zh-CN"/>
            </w:rPr>
            <w:fldChar w:fldCharType="end"/>
          </w:r>
        </w:p>
        <w:p w14:paraId="3CC9B5A1">
          <w:pPr>
            <w:pStyle w:val="7"/>
            <w:keepNext w:val="0"/>
            <w:keepLines w:val="0"/>
            <w:pageBreakBefore w:val="0"/>
            <w:tabs>
              <w:tab w:val="right" w:leader="dot" w:pos="8306"/>
            </w:tabs>
            <w:kinsoku/>
            <w:wordWrap/>
            <w:overflowPunct/>
            <w:topLinePunct w:val="0"/>
            <w:autoSpaceDE/>
            <w:autoSpaceDN/>
            <w:bidi w:val="0"/>
            <w:adjustRightInd/>
            <w:snapToGrid/>
            <w:spacing w:line="360" w:lineRule="auto"/>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fldChar w:fldCharType="begin"/>
          </w:r>
          <w:r>
            <w:rPr>
              <w:rFonts w:hint="eastAsia" w:ascii="仿宋_GB2312" w:hAnsi="仿宋_GB2312" w:eastAsia="仿宋_GB2312" w:cs="仿宋_GB2312"/>
              <w:sz w:val="30"/>
              <w:szCs w:val="30"/>
              <w:lang w:val="en-US" w:eastAsia="zh-CN"/>
            </w:rPr>
            <w:instrText xml:space="preserve"> HYPERLINK \l _Toc21033 </w:instrText>
          </w:r>
          <w:r>
            <w:rPr>
              <w:rFonts w:hint="eastAsia" w:ascii="仿宋_GB2312" w:hAnsi="仿宋_GB2312" w:eastAsia="仿宋_GB2312" w:cs="仿宋_GB2312"/>
              <w:sz w:val="30"/>
              <w:szCs w:val="30"/>
              <w:lang w:val="en-US" w:eastAsia="zh-CN"/>
            </w:rPr>
            <w:fldChar w:fldCharType="separate"/>
          </w:r>
          <w:r>
            <w:rPr>
              <w:rFonts w:hint="eastAsia" w:ascii="仿宋_GB2312" w:hAnsi="仿宋_GB2312" w:eastAsia="仿宋_GB2312" w:cs="仿宋_GB2312"/>
              <w:kern w:val="2"/>
              <w:sz w:val="30"/>
              <w:szCs w:val="30"/>
              <w:lang w:val="en-US" w:eastAsia="zh-CN" w:bidi="ar-SA"/>
            </w:rPr>
            <w:t>二、目的意义</w:t>
          </w:r>
          <w:r>
            <w:rPr>
              <w:rFonts w:hint="eastAsia" w:ascii="仿宋_GB2312" w:hAnsi="仿宋_GB2312" w:eastAsia="仿宋_GB2312" w:cs="仿宋_GB2312"/>
              <w:sz w:val="30"/>
              <w:szCs w:val="30"/>
            </w:rPr>
            <w:tab/>
          </w:r>
          <w:r>
            <w:rPr>
              <w:rFonts w:hint="eastAsia" w:ascii="仿宋_GB2312" w:hAnsi="仿宋_GB2312" w:eastAsia="仿宋_GB2312" w:cs="仿宋_GB2312"/>
              <w:sz w:val="30"/>
              <w:szCs w:val="30"/>
            </w:rPr>
            <w:fldChar w:fldCharType="begin"/>
          </w:r>
          <w:r>
            <w:rPr>
              <w:rFonts w:hint="eastAsia" w:ascii="仿宋_GB2312" w:hAnsi="仿宋_GB2312" w:eastAsia="仿宋_GB2312" w:cs="仿宋_GB2312"/>
              <w:sz w:val="30"/>
              <w:szCs w:val="30"/>
            </w:rPr>
            <w:instrText xml:space="preserve"> PAGEREF _Toc21033 \h </w:instrText>
          </w:r>
          <w:r>
            <w:rPr>
              <w:rFonts w:hint="eastAsia" w:ascii="仿宋_GB2312" w:hAnsi="仿宋_GB2312" w:eastAsia="仿宋_GB2312" w:cs="仿宋_GB2312"/>
              <w:sz w:val="30"/>
              <w:szCs w:val="30"/>
            </w:rPr>
            <w:fldChar w:fldCharType="separate"/>
          </w:r>
          <w:r>
            <w:rPr>
              <w:rFonts w:hint="eastAsia" w:ascii="仿宋_GB2312" w:hAnsi="仿宋_GB2312" w:eastAsia="仿宋_GB2312" w:cs="仿宋_GB2312"/>
              <w:sz w:val="30"/>
              <w:szCs w:val="30"/>
            </w:rPr>
            <w:t>1</w:t>
          </w:r>
          <w:r>
            <w:rPr>
              <w:rFonts w:hint="eastAsia" w:ascii="仿宋_GB2312" w:hAnsi="仿宋_GB2312" w:eastAsia="仿宋_GB2312" w:cs="仿宋_GB2312"/>
              <w:sz w:val="30"/>
              <w:szCs w:val="30"/>
            </w:rPr>
            <w:fldChar w:fldCharType="end"/>
          </w:r>
          <w:r>
            <w:rPr>
              <w:rFonts w:hint="eastAsia" w:ascii="仿宋_GB2312" w:hAnsi="仿宋_GB2312" w:eastAsia="仿宋_GB2312" w:cs="仿宋_GB2312"/>
              <w:sz w:val="30"/>
              <w:szCs w:val="30"/>
              <w:lang w:val="en-US" w:eastAsia="zh-CN"/>
            </w:rPr>
            <w:fldChar w:fldCharType="end"/>
          </w:r>
        </w:p>
        <w:p w14:paraId="6B284E04">
          <w:pPr>
            <w:pStyle w:val="7"/>
            <w:keepNext w:val="0"/>
            <w:keepLines w:val="0"/>
            <w:pageBreakBefore w:val="0"/>
            <w:tabs>
              <w:tab w:val="right" w:leader="dot" w:pos="8306"/>
            </w:tabs>
            <w:kinsoku/>
            <w:wordWrap/>
            <w:overflowPunct/>
            <w:topLinePunct w:val="0"/>
            <w:autoSpaceDE/>
            <w:autoSpaceDN/>
            <w:bidi w:val="0"/>
            <w:adjustRightInd/>
            <w:snapToGrid/>
            <w:spacing w:line="360" w:lineRule="auto"/>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fldChar w:fldCharType="begin"/>
          </w:r>
          <w:r>
            <w:rPr>
              <w:rFonts w:hint="eastAsia" w:ascii="仿宋_GB2312" w:hAnsi="仿宋_GB2312" w:eastAsia="仿宋_GB2312" w:cs="仿宋_GB2312"/>
              <w:sz w:val="30"/>
              <w:szCs w:val="30"/>
              <w:lang w:val="en-US" w:eastAsia="zh-CN"/>
            </w:rPr>
            <w:instrText xml:space="preserve"> HYPERLINK \l _Toc2036 </w:instrText>
          </w:r>
          <w:r>
            <w:rPr>
              <w:rFonts w:hint="eastAsia" w:ascii="仿宋_GB2312" w:hAnsi="仿宋_GB2312" w:eastAsia="仿宋_GB2312" w:cs="仿宋_GB2312"/>
              <w:sz w:val="30"/>
              <w:szCs w:val="30"/>
              <w:lang w:val="en-US" w:eastAsia="zh-CN"/>
            </w:rPr>
            <w:fldChar w:fldCharType="separate"/>
          </w:r>
          <w:r>
            <w:rPr>
              <w:rFonts w:hint="eastAsia" w:ascii="仿宋_GB2312" w:hAnsi="仿宋_GB2312" w:eastAsia="仿宋_GB2312" w:cs="仿宋_GB2312"/>
              <w:kern w:val="2"/>
              <w:sz w:val="30"/>
              <w:szCs w:val="30"/>
              <w:lang w:val="en-US" w:eastAsia="zh-CN" w:bidi="ar-SA"/>
            </w:rPr>
            <w:t>三、编制过程</w:t>
          </w:r>
          <w:r>
            <w:rPr>
              <w:rFonts w:hint="eastAsia" w:ascii="仿宋_GB2312" w:hAnsi="仿宋_GB2312" w:eastAsia="仿宋_GB2312" w:cs="仿宋_GB2312"/>
              <w:sz w:val="30"/>
              <w:szCs w:val="30"/>
            </w:rPr>
            <w:tab/>
          </w:r>
          <w:r>
            <w:rPr>
              <w:rFonts w:hint="eastAsia" w:ascii="仿宋_GB2312" w:hAnsi="仿宋_GB2312" w:eastAsia="仿宋_GB2312" w:cs="仿宋_GB2312"/>
              <w:sz w:val="30"/>
              <w:szCs w:val="30"/>
            </w:rPr>
            <w:fldChar w:fldCharType="begin"/>
          </w:r>
          <w:r>
            <w:rPr>
              <w:rFonts w:hint="eastAsia" w:ascii="仿宋_GB2312" w:hAnsi="仿宋_GB2312" w:eastAsia="仿宋_GB2312" w:cs="仿宋_GB2312"/>
              <w:sz w:val="30"/>
              <w:szCs w:val="30"/>
            </w:rPr>
            <w:instrText xml:space="preserve"> PAGEREF _Toc2036 \h </w:instrText>
          </w:r>
          <w:r>
            <w:rPr>
              <w:rFonts w:hint="eastAsia" w:ascii="仿宋_GB2312" w:hAnsi="仿宋_GB2312" w:eastAsia="仿宋_GB2312" w:cs="仿宋_GB2312"/>
              <w:sz w:val="30"/>
              <w:szCs w:val="30"/>
            </w:rPr>
            <w:fldChar w:fldCharType="separate"/>
          </w:r>
          <w:r>
            <w:rPr>
              <w:rFonts w:hint="eastAsia" w:ascii="仿宋_GB2312" w:hAnsi="仿宋_GB2312" w:eastAsia="仿宋_GB2312" w:cs="仿宋_GB2312"/>
              <w:sz w:val="30"/>
              <w:szCs w:val="30"/>
            </w:rPr>
            <w:t>2</w:t>
          </w:r>
          <w:r>
            <w:rPr>
              <w:rFonts w:hint="eastAsia" w:ascii="仿宋_GB2312" w:hAnsi="仿宋_GB2312" w:eastAsia="仿宋_GB2312" w:cs="仿宋_GB2312"/>
              <w:sz w:val="30"/>
              <w:szCs w:val="30"/>
            </w:rPr>
            <w:fldChar w:fldCharType="end"/>
          </w:r>
          <w:r>
            <w:rPr>
              <w:rFonts w:hint="eastAsia" w:ascii="仿宋_GB2312" w:hAnsi="仿宋_GB2312" w:eastAsia="仿宋_GB2312" w:cs="仿宋_GB2312"/>
              <w:sz w:val="30"/>
              <w:szCs w:val="30"/>
              <w:lang w:val="en-US" w:eastAsia="zh-CN"/>
            </w:rPr>
            <w:fldChar w:fldCharType="end"/>
          </w:r>
        </w:p>
        <w:p w14:paraId="4D569F18">
          <w:pPr>
            <w:pStyle w:val="7"/>
            <w:keepNext w:val="0"/>
            <w:keepLines w:val="0"/>
            <w:pageBreakBefore w:val="0"/>
            <w:tabs>
              <w:tab w:val="right" w:leader="dot" w:pos="8306"/>
            </w:tabs>
            <w:kinsoku/>
            <w:wordWrap/>
            <w:overflowPunct/>
            <w:topLinePunct w:val="0"/>
            <w:autoSpaceDE/>
            <w:autoSpaceDN/>
            <w:bidi w:val="0"/>
            <w:adjustRightInd/>
            <w:snapToGrid/>
            <w:spacing w:line="360" w:lineRule="auto"/>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fldChar w:fldCharType="begin"/>
          </w:r>
          <w:r>
            <w:rPr>
              <w:rFonts w:hint="eastAsia" w:ascii="仿宋_GB2312" w:hAnsi="仿宋_GB2312" w:eastAsia="仿宋_GB2312" w:cs="仿宋_GB2312"/>
              <w:sz w:val="30"/>
              <w:szCs w:val="30"/>
              <w:lang w:val="en-US" w:eastAsia="zh-CN"/>
            </w:rPr>
            <w:instrText xml:space="preserve"> HYPERLINK \l _Toc21967 </w:instrText>
          </w:r>
          <w:r>
            <w:rPr>
              <w:rFonts w:hint="eastAsia" w:ascii="仿宋_GB2312" w:hAnsi="仿宋_GB2312" w:eastAsia="仿宋_GB2312" w:cs="仿宋_GB2312"/>
              <w:sz w:val="30"/>
              <w:szCs w:val="30"/>
              <w:lang w:val="en-US" w:eastAsia="zh-CN"/>
            </w:rPr>
            <w:fldChar w:fldCharType="separate"/>
          </w:r>
          <w:r>
            <w:rPr>
              <w:rFonts w:hint="eastAsia" w:ascii="仿宋_GB2312" w:hAnsi="仿宋_GB2312" w:eastAsia="仿宋_GB2312" w:cs="仿宋_GB2312"/>
              <w:kern w:val="2"/>
              <w:sz w:val="30"/>
              <w:szCs w:val="30"/>
              <w:lang w:val="en-US" w:eastAsia="zh-CN" w:bidi="ar-SA"/>
            </w:rPr>
            <w:t>四、编制原则和主要内容</w:t>
          </w:r>
          <w:r>
            <w:rPr>
              <w:rFonts w:hint="eastAsia" w:ascii="仿宋_GB2312" w:hAnsi="仿宋_GB2312" w:eastAsia="仿宋_GB2312" w:cs="仿宋_GB2312"/>
              <w:sz w:val="30"/>
              <w:szCs w:val="30"/>
            </w:rPr>
            <w:tab/>
          </w:r>
          <w:r>
            <w:rPr>
              <w:rFonts w:hint="eastAsia" w:ascii="仿宋_GB2312" w:hAnsi="仿宋_GB2312" w:eastAsia="仿宋_GB2312" w:cs="仿宋_GB2312"/>
              <w:sz w:val="30"/>
              <w:szCs w:val="30"/>
            </w:rPr>
            <w:fldChar w:fldCharType="begin"/>
          </w:r>
          <w:r>
            <w:rPr>
              <w:rFonts w:hint="eastAsia" w:ascii="仿宋_GB2312" w:hAnsi="仿宋_GB2312" w:eastAsia="仿宋_GB2312" w:cs="仿宋_GB2312"/>
              <w:sz w:val="30"/>
              <w:szCs w:val="30"/>
            </w:rPr>
            <w:instrText xml:space="preserve"> PAGEREF _Toc21967 \h </w:instrText>
          </w:r>
          <w:r>
            <w:rPr>
              <w:rFonts w:hint="eastAsia" w:ascii="仿宋_GB2312" w:hAnsi="仿宋_GB2312" w:eastAsia="仿宋_GB2312" w:cs="仿宋_GB2312"/>
              <w:sz w:val="30"/>
              <w:szCs w:val="30"/>
            </w:rPr>
            <w:fldChar w:fldCharType="separate"/>
          </w:r>
          <w:r>
            <w:rPr>
              <w:rFonts w:hint="eastAsia" w:ascii="仿宋_GB2312" w:hAnsi="仿宋_GB2312" w:eastAsia="仿宋_GB2312" w:cs="仿宋_GB2312"/>
              <w:sz w:val="30"/>
              <w:szCs w:val="30"/>
            </w:rPr>
            <w:t>4</w:t>
          </w:r>
          <w:r>
            <w:rPr>
              <w:rFonts w:hint="eastAsia" w:ascii="仿宋_GB2312" w:hAnsi="仿宋_GB2312" w:eastAsia="仿宋_GB2312" w:cs="仿宋_GB2312"/>
              <w:sz w:val="30"/>
              <w:szCs w:val="30"/>
            </w:rPr>
            <w:fldChar w:fldCharType="end"/>
          </w:r>
          <w:r>
            <w:rPr>
              <w:rFonts w:hint="eastAsia" w:ascii="仿宋_GB2312" w:hAnsi="仿宋_GB2312" w:eastAsia="仿宋_GB2312" w:cs="仿宋_GB2312"/>
              <w:sz w:val="30"/>
              <w:szCs w:val="30"/>
              <w:lang w:val="en-US" w:eastAsia="zh-CN"/>
            </w:rPr>
            <w:fldChar w:fldCharType="end"/>
          </w:r>
        </w:p>
        <w:p w14:paraId="0FF99DD6">
          <w:pPr>
            <w:pStyle w:val="7"/>
            <w:keepNext w:val="0"/>
            <w:keepLines w:val="0"/>
            <w:pageBreakBefore w:val="0"/>
            <w:tabs>
              <w:tab w:val="right" w:leader="dot" w:pos="8306"/>
            </w:tabs>
            <w:kinsoku/>
            <w:wordWrap/>
            <w:overflowPunct/>
            <w:topLinePunct w:val="0"/>
            <w:autoSpaceDE/>
            <w:autoSpaceDN/>
            <w:bidi w:val="0"/>
            <w:adjustRightInd/>
            <w:snapToGrid/>
            <w:spacing w:line="360" w:lineRule="auto"/>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fldChar w:fldCharType="begin"/>
          </w:r>
          <w:r>
            <w:rPr>
              <w:rFonts w:hint="eastAsia" w:ascii="仿宋_GB2312" w:hAnsi="仿宋_GB2312" w:eastAsia="仿宋_GB2312" w:cs="仿宋_GB2312"/>
              <w:sz w:val="30"/>
              <w:szCs w:val="30"/>
              <w:lang w:val="en-US" w:eastAsia="zh-CN"/>
            </w:rPr>
            <w:instrText xml:space="preserve"> HYPERLINK \l _Toc8437 </w:instrText>
          </w:r>
          <w:r>
            <w:rPr>
              <w:rFonts w:hint="eastAsia" w:ascii="仿宋_GB2312" w:hAnsi="仿宋_GB2312" w:eastAsia="仿宋_GB2312" w:cs="仿宋_GB2312"/>
              <w:sz w:val="30"/>
              <w:szCs w:val="30"/>
              <w:lang w:val="en-US" w:eastAsia="zh-CN"/>
            </w:rPr>
            <w:fldChar w:fldCharType="separate"/>
          </w:r>
          <w:r>
            <w:rPr>
              <w:rFonts w:hint="eastAsia" w:ascii="仿宋_GB2312" w:hAnsi="仿宋_GB2312" w:eastAsia="仿宋_GB2312" w:cs="仿宋_GB2312"/>
              <w:kern w:val="2"/>
              <w:sz w:val="30"/>
              <w:szCs w:val="30"/>
              <w:lang w:val="en-US" w:eastAsia="zh-CN" w:bidi="ar-SA"/>
            </w:rPr>
            <w:t>五、主要试验（或验证）的分析、综述报告</w:t>
          </w:r>
          <w:r>
            <w:rPr>
              <w:rFonts w:hint="eastAsia" w:ascii="仿宋_GB2312" w:hAnsi="仿宋_GB2312" w:eastAsia="仿宋_GB2312" w:cs="仿宋_GB2312"/>
              <w:sz w:val="30"/>
              <w:szCs w:val="30"/>
            </w:rPr>
            <w:tab/>
          </w:r>
          <w:r>
            <w:rPr>
              <w:rFonts w:hint="eastAsia" w:ascii="仿宋_GB2312" w:hAnsi="仿宋_GB2312" w:eastAsia="仿宋_GB2312" w:cs="仿宋_GB2312"/>
              <w:sz w:val="30"/>
              <w:szCs w:val="30"/>
            </w:rPr>
            <w:fldChar w:fldCharType="begin"/>
          </w:r>
          <w:r>
            <w:rPr>
              <w:rFonts w:hint="eastAsia" w:ascii="仿宋_GB2312" w:hAnsi="仿宋_GB2312" w:eastAsia="仿宋_GB2312" w:cs="仿宋_GB2312"/>
              <w:sz w:val="30"/>
              <w:szCs w:val="30"/>
            </w:rPr>
            <w:instrText xml:space="preserve"> PAGEREF _Toc8437 \h </w:instrText>
          </w:r>
          <w:r>
            <w:rPr>
              <w:rFonts w:hint="eastAsia" w:ascii="仿宋_GB2312" w:hAnsi="仿宋_GB2312" w:eastAsia="仿宋_GB2312" w:cs="仿宋_GB2312"/>
              <w:sz w:val="30"/>
              <w:szCs w:val="30"/>
            </w:rPr>
            <w:fldChar w:fldCharType="separate"/>
          </w:r>
          <w:r>
            <w:rPr>
              <w:rFonts w:hint="eastAsia" w:ascii="仿宋_GB2312" w:hAnsi="仿宋_GB2312" w:eastAsia="仿宋_GB2312" w:cs="仿宋_GB2312"/>
              <w:sz w:val="30"/>
              <w:szCs w:val="30"/>
            </w:rPr>
            <w:t>7</w:t>
          </w:r>
          <w:r>
            <w:rPr>
              <w:rFonts w:hint="eastAsia" w:ascii="仿宋_GB2312" w:hAnsi="仿宋_GB2312" w:eastAsia="仿宋_GB2312" w:cs="仿宋_GB2312"/>
              <w:sz w:val="30"/>
              <w:szCs w:val="30"/>
            </w:rPr>
            <w:fldChar w:fldCharType="end"/>
          </w:r>
          <w:r>
            <w:rPr>
              <w:rFonts w:hint="eastAsia" w:ascii="仿宋_GB2312" w:hAnsi="仿宋_GB2312" w:eastAsia="仿宋_GB2312" w:cs="仿宋_GB2312"/>
              <w:sz w:val="30"/>
              <w:szCs w:val="30"/>
              <w:lang w:val="en-US" w:eastAsia="zh-CN"/>
            </w:rPr>
            <w:fldChar w:fldCharType="end"/>
          </w:r>
        </w:p>
        <w:p w14:paraId="18667912">
          <w:pPr>
            <w:pStyle w:val="7"/>
            <w:keepNext w:val="0"/>
            <w:keepLines w:val="0"/>
            <w:pageBreakBefore w:val="0"/>
            <w:tabs>
              <w:tab w:val="right" w:leader="dot" w:pos="8306"/>
            </w:tabs>
            <w:kinsoku/>
            <w:wordWrap/>
            <w:overflowPunct/>
            <w:topLinePunct w:val="0"/>
            <w:autoSpaceDE/>
            <w:autoSpaceDN/>
            <w:bidi w:val="0"/>
            <w:adjustRightInd/>
            <w:snapToGrid/>
            <w:spacing w:line="360" w:lineRule="auto"/>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fldChar w:fldCharType="begin"/>
          </w:r>
          <w:r>
            <w:rPr>
              <w:rFonts w:hint="eastAsia" w:ascii="仿宋_GB2312" w:hAnsi="仿宋_GB2312" w:eastAsia="仿宋_GB2312" w:cs="仿宋_GB2312"/>
              <w:sz w:val="30"/>
              <w:szCs w:val="30"/>
              <w:lang w:val="en-US" w:eastAsia="zh-CN"/>
            </w:rPr>
            <w:instrText xml:space="preserve"> HYPERLINK \l _Toc23057 </w:instrText>
          </w:r>
          <w:r>
            <w:rPr>
              <w:rFonts w:hint="eastAsia" w:ascii="仿宋_GB2312" w:hAnsi="仿宋_GB2312" w:eastAsia="仿宋_GB2312" w:cs="仿宋_GB2312"/>
              <w:sz w:val="30"/>
              <w:szCs w:val="30"/>
              <w:lang w:val="en-US" w:eastAsia="zh-CN"/>
            </w:rPr>
            <w:fldChar w:fldCharType="separate"/>
          </w:r>
          <w:r>
            <w:rPr>
              <w:rFonts w:hint="eastAsia" w:ascii="仿宋_GB2312" w:hAnsi="仿宋_GB2312" w:eastAsia="仿宋_GB2312" w:cs="仿宋_GB2312"/>
              <w:kern w:val="2"/>
              <w:sz w:val="30"/>
              <w:szCs w:val="30"/>
              <w:lang w:val="en-US" w:eastAsia="zh-CN" w:bidi="ar-SA"/>
            </w:rPr>
            <w:t>六、采用国际标准和国外先进标准的程度</w:t>
          </w:r>
          <w:r>
            <w:rPr>
              <w:rFonts w:hint="eastAsia" w:ascii="仿宋_GB2312" w:hAnsi="仿宋_GB2312" w:eastAsia="仿宋_GB2312" w:cs="仿宋_GB2312"/>
              <w:sz w:val="30"/>
              <w:szCs w:val="30"/>
            </w:rPr>
            <w:tab/>
          </w:r>
          <w:r>
            <w:rPr>
              <w:rFonts w:hint="eastAsia" w:ascii="仿宋_GB2312" w:hAnsi="仿宋_GB2312" w:eastAsia="仿宋_GB2312" w:cs="仿宋_GB2312"/>
              <w:sz w:val="30"/>
              <w:szCs w:val="30"/>
            </w:rPr>
            <w:fldChar w:fldCharType="begin"/>
          </w:r>
          <w:r>
            <w:rPr>
              <w:rFonts w:hint="eastAsia" w:ascii="仿宋_GB2312" w:hAnsi="仿宋_GB2312" w:eastAsia="仿宋_GB2312" w:cs="仿宋_GB2312"/>
              <w:sz w:val="30"/>
              <w:szCs w:val="30"/>
            </w:rPr>
            <w:instrText xml:space="preserve"> PAGEREF _Toc23057 \h </w:instrText>
          </w:r>
          <w:r>
            <w:rPr>
              <w:rFonts w:hint="eastAsia" w:ascii="仿宋_GB2312" w:hAnsi="仿宋_GB2312" w:eastAsia="仿宋_GB2312" w:cs="仿宋_GB2312"/>
              <w:sz w:val="30"/>
              <w:szCs w:val="30"/>
            </w:rPr>
            <w:fldChar w:fldCharType="separate"/>
          </w:r>
          <w:r>
            <w:rPr>
              <w:rFonts w:hint="eastAsia" w:ascii="仿宋_GB2312" w:hAnsi="仿宋_GB2312" w:eastAsia="仿宋_GB2312" w:cs="仿宋_GB2312"/>
              <w:sz w:val="30"/>
              <w:szCs w:val="30"/>
            </w:rPr>
            <w:t>9</w:t>
          </w:r>
          <w:r>
            <w:rPr>
              <w:rFonts w:hint="eastAsia" w:ascii="仿宋_GB2312" w:hAnsi="仿宋_GB2312" w:eastAsia="仿宋_GB2312" w:cs="仿宋_GB2312"/>
              <w:sz w:val="30"/>
              <w:szCs w:val="30"/>
            </w:rPr>
            <w:fldChar w:fldCharType="end"/>
          </w:r>
          <w:r>
            <w:rPr>
              <w:rFonts w:hint="eastAsia" w:ascii="仿宋_GB2312" w:hAnsi="仿宋_GB2312" w:eastAsia="仿宋_GB2312" w:cs="仿宋_GB2312"/>
              <w:sz w:val="30"/>
              <w:szCs w:val="30"/>
              <w:lang w:val="en-US" w:eastAsia="zh-CN"/>
            </w:rPr>
            <w:fldChar w:fldCharType="end"/>
          </w:r>
        </w:p>
        <w:p w14:paraId="337D70B6">
          <w:pPr>
            <w:pStyle w:val="7"/>
            <w:keepNext w:val="0"/>
            <w:keepLines w:val="0"/>
            <w:pageBreakBefore w:val="0"/>
            <w:widowControl/>
            <w:tabs>
              <w:tab w:val="right" w:leader="dot" w:pos="8306"/>
            </w:tabs>
            <w:kinsoku/>
            <w:wordWrap/>
            <w:overflowPunct/>
            <w:topLinePunct w:val="0"/>
            <w:autoSpaceDE/>
            <w:autoSpaceDN/>
            <w:bidi w:val="0"/>
            <w:adjustRightInd/>
            <w:snapToGrid/>
            <w:spacing w:line="360" w:lineRule="auto"/>
            <w:ind w:firstLine="0" w:firstLineChars="0"/>
            <w:jc w:val="both"/>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fldChar w:fldCharType="begin"/>
          </w:r>
          <w:r>
            <w:rPr>
              <w:rFonts w:hint="eastAsia" w:ascii="仿宋_GB2312" w:hAnsi="仿宋_GB2312" w:eastAsia="仿宋_GB2312" w:cs="仿宋_GB2312"/>
              <w:sz w:val="30"/>
              <w:szCs w:val="30"/>
              <w:lang w:val="en-US" w:eastAsia="zh-CN"/>
            </w:rPr>
            <w:instrText xml:space="preserve"> HYPERLINK \l _Toc29957 </w:instrText>
          </w:r>
          <w:r>
            <w:rPr>
              <w:rFonts w:hint="eastAsia" w:ascii="仿宋_GB2312" w:hAnsi="仿宋_GB2312" w:eastAsia="仿宋_GB2312" w:cs="仿宋_GB2312"/>
              <w:sz w:val="30"/>
              <w:szCs w:val="30"/>
              <w:lang w:val="en-US" w:eastAsia="zh-CN"/>
            </w:rPr>
            <w:fldChar w:fldCharType="separate"/>
          </w:r>
          <w:r>
            <w:rPr>
              <w:rFonts w:hint="eastAsia" w:ascii="仿宋_GB2312" w:hAnsi="仿宋_GB2312" w:eastAsia="仿宋_GB2312" w:cs="仿宋_GB2312"/>
              <w:kern w:val="2"/>
              <w:sz w:val="30"/>
              <w:szCs w:val="30"/>
              <w:lang w:val="en-US" w:eastAsia="zh-CN" w:bidi="ar-SA"/>
            </w:rPr>
            <w:t>七、与有关的现行法律、法规和强制性国家标准的关系</w:t>
          </w:r>
          <w:r>
            <w:rPr>
              <w:rFonts w:hint="eastAsia" w:ascii="仿宋_GB2312" w:hAnsi="仿宋_GB2312" w:eastAsia="仿宋_GB2312" w:cs="仿宋_GB2312"/>
              <w:sz w:val="30"/>
              <w:szCs w:val="30"/>
            </w:rPr>
            <w:tab/>
          </w:r>
          <w:r>
            <w:rPr>
              <w:rFonts w:hint="eastAsia" w:ascii="仿宋_GB2312" w:hAnsi="仿宋_GB2312" w:eastAsia="仿宋_GB2312" w:cs="仿宋_GB2312"/>
              <w:sz w:val="30"/>
              <w:szCs w:val="30"/>
            </w:rPr>
            <w:fldChar w:fldCharType="begin"/>
          </w:r>
          <w:r>
            <w:rPr>
              <w:rFonts w:hint="eastAsia" w:ascii="仿宋_GB2312" w:hAnsi="仿宋_GB2312" w:eastAsia="仿宋_GB2312" w:cs="仿宋_GB2312"/>
              <w:sz w:val="30"/>
              <w:szCs w:val="30"/>
            </w:rPr>
            <w:instrText xml:space="preserve"> PAGEREF _Toc29957 \h </w:instrText>
          </w:r>
          <w:r>
            <w:rPr>
              <w:rFonts w:hint="eastAsia" w:ascii="仿宋_GB2312" w:hAnsi="仿宋_GB2312" w:eastAsia="仿宋_GB2312" w:cs="仿宋_GB2312"/>
              <w:sz w:val="30"/>
              <w:szCs w:val="30"/>
            </w:rPr>
            <w:fldChar w:fldCharType="separate"/>
          </w:r>
          <w:r>
            <w:rPr>
              <w:rFonts w:hint="eastAsia" w:ascii="仿宋_GB2312" w:hAnsi="仿宋_GB2312" w:eastAsia="仿宋_GB2312" w:cs="仿宋_GB2312"/>
              <w:sz w:val="30"/>
              <w:szCs w:val="30"/>
            </w:rPr>
            <w:t>9</w:t>
          </w:r>
          <w:r>
            <w:rPr>
              <w:rFonts w:hint="eastAsia" w:ascii="仿宋_GB2312" w:hAnsi="仿宋_GB2312" w:eastAsia="仿宋_GB2312" w:cs="仿宋_GB2312"/>
              <w:sz w:val="30"/>
              <w:szCs w:val="30"/>
            </w:rPr>
            <w:fldChar w:fldCharType="end"/>
          </w:r>
          <w:r>
            <w:rPr>
              <w:rFonts w:hint="eastAsia" w:ascii="仿宋_GB2312" w:hAnsi="仿宋_GB2312" w:eastAsia="仿宋_GB2312" w:cs="仿宋_GB2312"/>
              <w:sz w:val="30"/>
              <w:szCs w:val="30"/>
              <w:lang w:val="en-US" w:eastAsia="zh-CN"/>
            </w:rPr>
            <w:fldChar w:fldCharType="end"/>
          </w:r>
        </w:p>
        <w:p w14:paraId="3FF66E03">
          <w:pPr>
            <w:pStyle w:val="7"/>
            <w:keepNext w:val="0"/>
            <w:keepLines w:val="0"/>
            <w:pageBreakBefore w:val="0"/>
            <w:widowControl/>
            <w:tabs>
              <w:tab w:val="right" w:leader="dot" w:pos="8306"/>
            </w:tabs>
            <w:kinsoku/>
            <w:wordWrap/>
            <w:overflowPunct/>
            <w:topLinePunct w:val="0"/>
            <w:autoSpaceDE/>
            <w:autoSpaceDN/>
            <w:bidi w:val="0"/>
            <w:adjustRightInd/>
            <w:snapToGrid/>
            <w:spacing w:line="360" w:lineRule="auto"/>
            <w:ind w:firstLine="0" w:firstLineChars="0"/>
            <w:jc w:val="both"/>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fldChar w:fldCharType="begin"/>
          </w:r>
          <w:r>
            <w:rPr>
              <w:rFonts w:hint="eastAsia" w:ascii="仿宋_GB2312" w:hAnsi="仿宋_GB2312" w:eastAsia="仿宋_GB2312" w:cs="仿宋_GB2312"/>
              <w:sz w:val="30"/>
              <w:szCs w:val="30"/>
              <w:lang w:val="en-US" w:eastAsia="zh-CN"/>
            </w:rPr>
            <w:instrText xml:space="preserve"> HYPERLINK \l _Toc20348 </w:instrText>
          </w:r>
          <w:r>
            <w:rPr>
              <w:rFonts w:hint="eastAsia" w:ascii="仿宋_GB2312" w:hAnsi="仿宋_GB2312" w:eastAsia="仿宋_GB2312" w:cs="仿宋_GB2312"/>
              <w:sz w:val="30"/>
              <w:szCs w:val="30"/>
              <w:lang w:val="en-US" w:eastAsia="zh-CN"/>
            </w:rPr>
            <w:fldChar w:fldCharType="separate"/>
          </w:r>
          <w:r>
            <w:rPr>
              <w:rFonts w:hint="eastAsia" w:ascii="仿宋_GB2312" w:hAnsi="仿宋_GB2312" w:eastAsia="仿宋_GB2312" w:cs="仿宋_GB2312"/>
              <w:kern w:val="2"/>
              <w:sz w:val="30"/>
              <w:szCs w:val="30"/>
              <w:lang w:val="en-US" w:eastAsia="zh-CN" w:bidi="ar-SA"/>
            </w:rPr>
            <w:t>八、重大分歧意见的处理经过和依据</w:t>
          </w:r>
          <w:r>
            <w:rPr>
              <w:rFonts w:hint="eastAsia" w:ascii="仿宋_GB2312" w:hAnsi="仿宋_GB2312" w:eastAsia="仿宋_GB2312" w:cs="仿宋_GB2312"/>
              <w:sz w:val="30"/>
              <w:szCs w:val="30"/>
            </w:rPr>
            <w:tab/>
          </w:r>
          <w:r>
            <w:rPr>
              <w:rFonts w:hint="eastAsia" w:ascii="仿宋_GB2312" w:hAnsi="仿宋_GB2312" w:eastAsia="仿宋_GB2312" w:cs="仿宋_GB2312"/>
              <w:sz w:val="30"/>
              <w:szCs w:val="30"/>
            </w:rPr>
            <w:fldChar w:fldCharType="begin"/>
          </w:r>
          <w:r>
            <w:rPr>
              <w:rFonts w:hint="eastAsia" w:ascii="仿宋_GB2312" w:hAnsi="仿宋_GB2312" w:eastAsia="仿宋_GB2312" w:cs="仿宋_GB2312"/>
              <w:sz w:val="30"/>
              <w:szCs w:val="30"/>
            </w:rPr>
            <w:instrText xml:space="preserve"> PAGEREF _Toc20348 \h </w:instrText>
          </w:r>
          <w:r>
            <w:rPr>
              <w:rFonts w:hint="eastAsia" w:ascii="仿宋_GB2312" w:hAnsi="仿宋_GB2312" w:eastAsia="仿宋_GB2312" w:cs="仿宋_GB2312"/>
              <w:sz w:val="30"/>
              <w:szCs w:val="30"/>
            </w:rPr>
            <w:fldChar w:fldCharType="separate"/>
          </w:r>
          <w:r>
            <w:rPr>
              <w:rFonts w:hint="eastAsia" w:ascii="仿宋_GB2312" w:hAnsi="仿宋_GB2312" w:eastAsia="仿宋_GB2312" w:cs="仿宋_GB2312"/>
              <w:sz w:val="30"/>
              <w:szCs w:val="30"/>
            </w:rPr>
            <w:t>10</w:t>
          </w:r>
          <w:r>
            <w:rPr>
              <w:rFonts w:hint="eastAsia" w:ascii="仿宋_GB2312" w:hAnsi="仿宋_GB2312" w:eastAsia="仿宋_GB2312" w:cs="仿宋_GB2312"/>
              <w:sz w:val="30"/>
              <w:szCs w:val="30"/>
            </w:rPr>
            <w:fldChar w:fldCharType="end"/>
          </w:r>
          <w:r>
            <w:rPr>
              <w:rFonts w:hint="eastAsia" w:ascii="仿宋_GB2312" w:hAnsi="仿宋_GB2312" w:eastAsia="仿宋_GB2312" w:cs="仿宋_GB2312"/>
              <w:sz w:val="30"/>
              <w:szCs w:val="30"/>
              <w:lang w:val="en-US" w:eastAsia="zh-CN"/>
            </w:rPr>
            <w:fldChar w:fldCharType="end"/>
          </w:r>
        </w:p>
        <w:p w14:paraId="438A4AC6">
          <w:pPr>
            <w:pStyle w:val="7"/>
            <w:keepNext w:val="0"/>
            <w:keepLines w:val="0"/>
            <w:pageBreakBefore w:val="0"/>
            <w:widowControl/>
            <w:tabs>
              <w:tab w:val="right" w:leader="dot" w:pos="8306"/>
            </w:tabs>
            <w:kinsoku/>
            <w:wordWrap/>
            <w:overflowPunct/>
            <w:topLinePunct w:val="0"/>
            <w:autoSpaceDE/>
            <w:autoSpaceDN/>
            <w:bidi w:val="0"/>
            <w:adjustRightInd/>
            <w:snapToGrid/>
            <w:spacing w:line="360" w:lineRule="auto"/>
            <w:ind w:firstLine="0" w:firstLineChars="0"/>
            <w:jc w:val="both"/>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fldChar w:fldCharType="begin"/>
          </w:r>
          <w:r>
            <w:rPr>
              <w:rFonts w:hint="eastAsia" w:ascii="仿宋_GB2312" w:hAnsi="仿宋_GB2312" w:eastAsia="仿宋_GB2312" w:cs="仿宋_GB2312"/>
              <w:sz w:val="30"/>
              <w:szCs w:val="30"/>
              <w:lang w:val="en-US" w:eastAsia="zh-CN"/>
            </w:rPr>
            <w:instrText xml:space="preserve"> HYPERLINK \l _Toc913 </w:instrText>
          </w:r>
          <w:r>
            <w:rPr>
              <w:rFonts w:hint="eastAsia" w:ascii="仿宋_GB2312" w:hAnsi="仿宋_GB2312" w:eastAsia="仿宋_GB2312" w:cs="仿宋_GB2312"/>
              <w:sz w:val="30"/>
              <w:szCs w:val="30"/>
              <w:lang w:val="en-US" w:eastAsia="zh-CN"/>
            </w:rPr>
            <w:fldChar w:fldCharType="separate"/>
          </w:r>
          <w:r>
            <w:rPr>
              <w:rFonts w:hint="eastAsia" w:ascii="仿宋_GB2312" w:hAnsi="仿宋_GB2312" w:eastAsia="仿宋_GB2312" w:cs="仿宋_GB2312"/>
              <w:kern w:val="2"/>
              <w:sz w:val="30"/>
              <w:szCs w:val="30"/>
              <w:lang w:val="en-US" w:eastAsia="zh-CN" w:bidi="ar-SA"/>
            </w:rPr>
            <w:t>九、作为强制标准或推荐性标准的建议</w:t>
          </w:r>
          <w:r>
            <w:rPr>
              <w:rFonts w:hint="eastAsia" w:ascii="仿宋_GB2312" w:hAnsi="仿宋_GB2312" w:eastAsia="仿宋_GB2312" w:cs="仿宋_GB2312"/>
              <w:sz w:val="30"/>
              <w:szCs w:val="30"/>
            </w:rPr>
            <w:tab/>
          </w:r>
          <w:r>
            <w:rPr>
              <w:rFonts w:hint="eastAsia" w:ascii="仿宋_GB2312" w:hAnsi="仿宋_GB2312" w:eastAsia="仿宋_GB2312" w:cs="仿宋_GB2312"/>
              <w:sz w:val="30"/>
              <w:szCs w:val="30"/>
            </w:rPr>
            <w:fldChar w:fldCharType="begin"/>
          </w:r>
          <w:r>
            <w:rPr>
              <w:rFonts w:hint="eastAsia" w:ascii="仿宋_GB2312" w:hAnsi="仿宋_GB2312" w:eastAsia="仿宋_GB2312" w:cs="仿宋_GB2312"/>
              <w:sz w:val="30"/>
              <w:szCs w:val="30"/>
            </w:rPr>
            <w:instrText xml:space="preserve"> PAGEREF _Toc913 \h </w:instrText>
          </w:r>
          <w:r>
            <w:rPr>
              <w:rFonts w:hint="eastAsia" w:ascii="仿宋_GB2312" w:hAnsi="仿宋_GB2312" w:eastAsia="仿宋_GB2312" w:cs="仿宋_GB2312"/>
              <w:sz w:val="30"/>
              <w:szCs w:val="30"/>
            </w:rPr>
            <w:fldChar w:fldCharType="separate"/>
          </w:r>
          <w:r>
            <w:rPr>
              <w:rFonts w:hint="eastAsia" w:ascii="仿宋_GB2312" w:hAnsi="仿宋_GB2312" w:eastAsia="仿宋_GB2312" w:cs="仿宋_GB2312"/>
              <w:sz w:val="30"/>
              <w:szCs w:val="30"/>
            </w:rPr>
            <w:t>10</w:t>
          </w:r>
          <w:r>
            <w:rPr>
              <w:rFonts w:hint="eastAsia" w:ascii="仿宋_GB2312" w:hAnsi="仿宋_GB2312" w:eastAsia="仿宋_GB2312" w:cs="仿宋_GB2312"/>
              <w:sz w:val="30"/>
              <w:szCs w:val="30"/>
            </w:rPr>
            <w:fldChar w:fldCharType="end"/>
          </w:r>
          <w:r>
            <w:rPr>
              <w:rFonts w:hint="eastAsia" w:ascii="仿宋_GB2312" w:hAnsi="仿宋_GB2312" w:eastAsia="仿宋_GB2312" w:cs="仿宋_GB2312"/>
              <w:sz w:val="30"/>
              <w:szCs w:val="30"/>
              <w:lang w:val="en-US" w:eastAsia="zh-CN"/>
            </w:rPr>
            <w:fldChar w:fldCharType="end"/>
          </w:r>
        </w:p>
        <w:p w14:paraId="3B956C6C">
          <w:pPr>
            <w:pStyle w:val="7"/>
            <w:keepNext w:val="0"/>
            <w:keepLines w:val="0"/>
            <w:pageBreakBefore w:val="0"/>
            <w:widowControl/>
            <w:tabs>
              <w:tab w:val="right" w:leader="dot" w:pos="8306"/>
            </w:tabs>
            <w:kinsoku/>
            <w:wordWrap/>
            <w:overflowPunct/>
            <w:topLinePunct w:val="0"/>
            <w:autoSpaceDE/>
            <w:autoSpaceDN/>
            <w:bidi w:val="0"/>
            <w:adjustRightInd/>
            <w:snapToGrid/>
            <w:spacing w:line="360" w:lineRule="auto"/>
            <w:ind w:firstLine="0" w:firstLineChars="0"/>
            <w:jc w:val="both"/>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fldChar w:fldCharType="begin"/>
          </w:r>
          <w:r>
            <w:rPr>
              <w:rFonts w:hint="eastAsia" w:ascii="仿宋_GB2312" w:hAnsi="仿宋_GB2312" w:eastAsia="仿宋_GB2312" w:cs="仿宋_GB2312"/>
              <w:sz w:val="30"/>
              <w:szCs w:val="30"/>
              <w:lang w:val="en-US" w:eastAsia="zh-CN"/>
            </w:rPr>
            <w:instrText xml:space="preserve"> HYPERLINK \l _Toc3224 </w:instrText>
          </w:r>
          <w:r>
            <w:rPr>
              <w:rFonts w:hint="eastAsia" w:ascii="仿宋_GB2312" w:hAnsi="仿宋_GB2312" w:eastAsia="仿宋_GB2312" w:cs="仿宋_GB2312"/>
              <w:sz w:val="30"/>
              <w:szCs w:val="30"/>
              <w:lang w:val="en-US" w:eastAsia="zh-CN"/>
            </w:rPr>
            <w:fldChar w:fldCharType="separate"/>
          </w:r>
          <w:r>
            <w:rPr>
              <w:rFonts w:hint="eastAsia" w:ascii="仿宋_GB2312" w:hAnsi="仿宋_GB2312" w:eastAsia="仿宋_GB2312" w:cs="仿宋_GB2312"/>
              <w:kern w:val="2"/>
              <w:sz w:val="30"/>
              <w:szCs w:val="30"/>
              <w:lang w:val="en-US" w:eastAsia="zh-CN" w:bidi="ar-SA"/>
            </w:rPr>
            <w:t>十、宣贯标准的要求和措施建议</w:t>
          </w:r>
          <w:r>
            <w:rPr>
              <w:rFonts w:hint="eastAsia" w:ascii="仿宋_GB2312" w:hAnsi="仿宋_GB2312" w:eastAsia="仿宋_GB2312" w:cs="仿宋_GB2312"/>
              <w:sz w:val="30"/>
              <w:szCs w:val="30"/>
            </w:rPr>
            <w:tab/>
          </w:r>
          <w:r>
            <w:rPr>
              <w:rFonts w:hint="eastAsia" w:ascii="仿宋_GB2312" w:hAnsi="仿宋_GB2312" w:eastAsia="仿宋_GB2312" w:cs="仿宋_GB2312"/>
              <w:sz w:val="30"/>
              <w:szCs w:val="30"/>
            </w:rPr>
            <w:fldChar w:fldCharType="begin"/>
          </w:r>
          <w:r>
            <w:rPr>
              <w:rFonts w:hint="eastAsia" w:ascii="仿宋_GB2312" w:hAnsi="仿宋_GB2312" w:eastAsia="仿宋_GB2312" w:cs="仿宋_GB2312"/>
              <w:sz w:val="30"/>
              <w:szCs w:val="30"/>
            </w:rPr>
            <w:instrText xml:space="preserve"> PAGEREF _Toc3224 \h </w:instrText>
          </w:r>
          <w:r>
            <w:rPr>
              <w:rFonts w:hint="eastAsia" w:ascii="仿宋_GB2312" w:hAnsi="仿宋_GB2312" w:eastAsia="仿宋_GB2312" w:cs="仿宋_GB2312"/>
              <w:sz w:val="30"/>
              <w:szCs w:val="30"/>
            </w:rPr>
            <w:fldChar w:fldCharType="separate"/>
          </w:r>
          <w:r>
            <w:rPr>
              <w:rFonts w:hint="eastAsia" w:ascii="仿宋_GB2312" w:hAnsi="仿宋_GB2312" w:eastAsia="仿宋_GB2312" w:cs="仿宋_GB2312"/>
              <w:sz w:val="30"/>
              <w:szCs w:val="30"/>
            </w:rPr>
            <w:t>10</w:t>
          </w:r>
          <w:r>
            <w:rPr>
              <w:rFonts w:hint="eastAsia" w:ascii="仿宋_GB2312" w:hAnsi="仿宋_GB2312" w:eastAsia="仿宋_GB2312" w:cs="仿宋_GB2312"/>
              <w:sz w:val="30"/>
              <w:szCs w:val="30"/>
            </w:rPr>
            <w:fldChar w:fldCharType="end"/>
          </w:r>
          <w:r>
            <w:rPr>
              <w:rFonts w:hint="eastAsia" w:ascii="仿宋_GB2312" w:hAnsi="仿宋_GB2312" w:eastAsia="仿宋_GB2312" w:cs="仿宋_GB2312"/>
              <w:sz w:val="30"/>
              <w:szCs w:val="30"/>
              <w:lang w:val="en-US" w:eastAsia="zh-CN"/>
            </w:rPr>
            <w:fldChar w:fldCharType="end"/>
          </w:r>
        </w:p>
        <w:p w14:paraId="4BDD6924">
          <w:pPr>
            <w:pStyle w:val="7"/>
            <w:keepNext w:val="0"/>
            <w:keepLines w:val="0"/>
            <w:pageBreakBefore w:val="0"/>
            <w:widowControl/>
            <w:tabs>
              <w:tab w:val="right" w:leader="dot" w:pos="8306"/>
            </w:tabs>
            <w:kinsoku/>
            <w:wordWrap/>
            <w:overflowPunct/>
            <w:topLinePunct w:val="0"/>
            <w:autoSpaceDE/>
            <w:autoSpaceDN/>
            <w:bidi w:val="0"/>
            <w:adjustRightInd/>
            <w:snapToGrid/>
            <w:spacing w:line="360" w:lineRule="auto"/>
            <w:ind w:firstLine="0" w:firstLineChars="0"/>
            <w:jc w:val="both"/>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fldChar w:fldCharType="begin"/>
          </w:r>
          <w:r>
            <w:rPr>
              <w:rFonts w:hint="eastAsia" w:ascii="仿宋_GB2312" w:hAnsi="仿宋_GB2312" w:eastAsia="仿宋_GB2312" w:cs="仿宋_GB2312"/>
              <w:sz w:val="30"/>
              <w:szCs w:val="30"/>
              <w:lang w:val="en-US" w:eastAsia="zh-CN"/>
            </w:rPr>
            <w:instrText xml:space="preserve"> HYPERLINK \l _Toc29340 </w:instrText>
          </w:r>
          <w:r>
            <w:rPr>
              <w:rFonts w:hint="eastAsia" w:ascii="仿宋_GB2312" w:hAnsi="仿宋_GB2312" w:eastAsia="仿宋_GB2312" w:cs="仿宋_GB2312"/>
              <w:sz w:val="30"/>
              <w:szCs w:val="30"/>
              <w:lang w:val="en-US" w:eastAsia="zh-CN"/>
            </w:rPr>
            <w:fldChar w:fldCharType="separate"/>
          </w:r>
          <w:r>
            <w:rPr>
              <w:rFonts w:hint="eastAsia" w:ascii="仿宋_GB2312" w:hAnsi="仿宋_GB2312" w:eastAsia="仿宋_GB2312" w:cs="仿宋_GB2312"/>
              <w:kern w:val="2"/>
              <w:sz w:val="30"/>
              <w:szCs w:val="30"/>
              <w:lang w:val="en-US" w:eastAsia="zh-CN" w:bidi="ar-SA"/>
            </w:rPr>
            <w:t>十一、废止现行有关标准的建议</w:t>
          </w:r>
          <w:r>
            <w:rPr>
              <w:rFonts w:hint="eastAsia" w:ascii="仿宋_GB2312" w:hAnsi="仿宋_GB2312" w:eastAsia="仿宋_GB2312" w:cs="仿宋_GB2312"/>
              <w:sz w:val="30"/>
              <w:szCs w:val="30"/>
            </w:rPr>
            <w:tab/>
          </w:r>
          <w:r>
            <w:rPr>
              <w:rFonts w:hint="eastAsia" w:ascii="仿宋_GB2312" w:hAnsi="仿宋_GB2312" w:eastAsia="仿宋_GB2312" w:cs="仿宋_GB2312"/>
              <w:sz w:val="30"/>
              <w:szCs w:val="30"/>
            </w:rPr>
            <w:fldChar w:fldCharType="begin"/>
          </w:r>
          <w:r>
            <w:rPr>
              <w:rFonts w:hint="eastAsia" w:ascii="仿宋_GB2312" w:hAnsi="仿宋_GB2312" w:eastAsia="仿宋_GB2312" w:cs="仿宋_GB2312"/>
              <w:sz w:val="30"/>
              <w:szCs w:val="30"/>
            </w:rPr>
            <w:instrText xml:space="preserve"> PAGEREF _Toc29340 \h </w:instrText>
          </w:r>
          <w:r>
            <w:rPr>
              <w:rFonts w:hint="eastAsia" w:ascii="仿宋_GB2312" w:hAnsi="仿宋_GB2312" w:eastAsia="仿宋_GB2312" w:cs="仿宋_GB2312"/>
              <w:sz w:val="30"/>
              <w:szCs w:val="30"/>
            </w:rPr>
            <w:fldChar w:fldCharType="separate"/>
          </w:r>
          <w:r>
            <w:rPr>
              <w:rFonts w:hint="eastAsia" w:ascii="仿宋_GB2312" w:hAnsi="仿宋_GB2312" w:eastAsia="仿宋_GB2312" w:cs="仿宋_GB2312"/>
              <w:sz w:val="30"/>
              <w:szCs w:val="30"/>
            </w:rPr>
            <w:t>10</w:t>
          </w:r>
          <w:r>
            <w:rPr>
              <w:rFonts w:hint="eastAsia" w:ascii="仿宋_GB2312" w:hAnsi="仿宋_GB2312" w:eastAsia="仿宋_GB2312" w:cs="仿宋_GB2312"/>
              <w:sz w:val="30"/>
              <w:szCs w:val="30"/>
            </w:rPr>
            <w:fldChar w:fldCharType="end"/>
          </w:r>
          <w:r>
            <w:rPr>
              <w:rFonts w:hint="eastAsia" w:ascii="仿宋_GB2312" w:hAnsi="仿宋_GB2312" w:eastAsia="仿宋_GB2312" w:cs="仿宋_GB2312"/>
              <w:sz w:val="30"/>
              <w:szCs w:val="30"/>
              <w:lang w:val="en-US" w:eastAsia="zh-CN"/>
            </w:rPr>
            <w:fldChar w:fldCharType="end"/>
          </w:r>
        </w:p>
        <w:p w14:paraId="65E3CE49">
          <w:pPr>
            <w:keepNext w:val="0"/>
            <w:keepLines w:val="0"/>
            <w:pageBreakBefore w:val="0"/>
            <w:kinsoku/>
            <w:wordWrap/>
            <w:overflowPunct/>
            <w:topLinePunct w:val="0"/>
            <w:autoSpaceDE/>
            <w:autoSpaceDN/>
            <w:bidi w:val="0"/>
            <w:adjustRightInd/>
            <w:snapToGrid/>
            <w:spacing w:line="360" w:lineRule="auto"/>
            <w:ind w:firstLine="600" w:firstLineChars="200"/>
            <w:jc w:val="center"/>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sz w:val="30"/>
              <w:szCs w:val="30"/>
              <w:lang w:val="en-US" w:eastAsia="zh-CN"/>
            </w:rPr>
            <w:fldChar w:fldCharType="end"/>
          </w:r>
        </w:p>
      </w:sdtContent>
    </w:sdt>
    <w:p w14:paraId="4DFAEF1F">
      <w:pPr>
        <w:jc w:val="center"/>
        <w:rPr>
          <w:rFonts w:hint="eastAsia" w:asciiTheme="minorHAnsi" w:hAnsiTheme="minorHAnsi" w:eastAsiaTheme="minorEastAsia" w:cstheme="minorBidi"/>
          <w:kern w:val="2"/>
          <w:sz w:val="21"/>
          <w:szCs w:val="32"/>
          <w:lang w:val="en-US" w:eastAsia="zh-CN" w:bidi="ar-SA"/>
        </w:rPr>
      </w:pPr>
    </w:p>
    <w:p w14:paraId="4F48F5F4">
      <w:pPr>
        <w:jc w:val="center"/>
        <w:rPr>
          <w:rFonts w:hint="eastAsia"/>
          <w:sz w:val="32"/>
          <w:szCs w:val="32"/>
          <w:lang w:val="en-US" w:eastAsia="zh-CN"/>
        </w:rPr>
      </w:pPr>
    </w:p>
    <w:p w14:paraId="780FA4C9">
      <w:pPr>
        <w:rPr>
          <w:rFonts w:hint="default" w:ascii="Times New Roman" w:hAnsi="Times New Roman" w:eastAsia="仿宋_GB2312" w:cs="Times New Roman"/>
          <w:sz w:val="32"/>
          <w:szCs w:val="32"/>
          <w:lang w:val="en-US" w:eastAsia="zh-CN"/>
        </w:rPr>
        <w:sectPr>
          <w:footerReference r:id="rId3" w:type="default"/>
          <w:pgSz w:w="11906" w:h="16838"/>
          <w:pgMar w:top="1440" w:right="1800" w:bottom="1440" w:left="1800" w:header="851" w:footer="992" w:gutter="0"/>
          <w:pgNumType w:fmt="decimal"/>
          <w:cols w:space="425" w:num="1"/>
          <w:docGrid w:type="lines" w:linePitch="312" w:charSpace="0"/>
        </w:sectPr>
      </w:pPr>
    </w:p>
    <w:p w14:paraId="67586A8A">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640" w:firstLineChars="200"/>
        <w:textAlignment w:val="auto"/>
        <w:outlineLvl w:val="0"/>
        <w:rPr>
          <w:rFonts w:hint="default" w:ascii="黑体" w:hAnsi="黑体" w:eastAsia="黑体" w:cs="黑体"/>
          <w:kern w:val="2"/>
          <w:sz w:val="32"/>
          <w:szCs w:val="32"/>
          <w:lang w:val="en-US" w:eastAsia="zh-CN" w:bidi="ar-SA"/>
        </w:rPr>
      </w:pPr>
      <w:bookmarkStart w:id="0" w:name="_Toc23349"/>
      <w:r>
        <w:rPr>
          <w:rFonts w:hint="eastAsia" w:ascii="黑体" w:hAnsi="黑体" w:eastAsia="黑体" w:cs="黑体"/>
          <w:kern w:val="2"/>
          <w:sz w:val="32"/>
          <w:szCs w:val="32"/>
          <w:lang w:val="en-US" w:eastAsia="zh-CN" w:bidi="ar-SA"/>
        </w:rPr>
        <w:t>一、</w:t>
      </w:r>
      <w:r>
        <w:rPr>
          <w:rFonts w:hint="default" w:ascii="黑体" w:hAnsi="黑体" w:eastAsia="黑体" w:cs="黑体"/>
          <w:kern w:val="2"/>
          <w:sz w:val="32"/>
          <w:szCs w:val="32"/>
          <w:lang w:val="en-US" w:eastAsia="zh-CN" w:bidi="ar-SA"/>
        </w:rPr>
        <w:t>任务来源</w:t>
      </w:r>
      <w:bookmarkEnd w:id="0"/>
    </w:p>
    <w:p w14:paraId="66F6EA9A">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firstLineChars="200"/>
        <w:jc w:val="both"/>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根据《中华人民共和国标准化法》和《地方标准管理办法》，2022年7月，长三角区域地方标准《地质灾害风险调查与评价规范》由浙江省自然资源厅、上海市规划和自然资源局、江苏省自然资源厅和安徽省自然资源厅提出立项</w:t>
      </w:r>
      <w:r>
        <w:rPr>
          <w:rFonts w:hint="eastAsia" w:ascii="Times New Roman" w:hAnsi="Times New Roman" w:eastAsia="仿宋_GB2312" w:cs="Times New Roman"/>
          <w:sz w:val="32"/>
          <w:szCs w:val="32"/>
          <w:lang w:val="en-US" w:eastAsia="zh-CN"/>
        </w:rPr>
        <w:t>，</w:t>
      </w:r>
      <w:r>
        <w:rPr>
          <w:rFonts w:hint="default" w:ascii="Times New Roman" w:hAnsi="Times New Roman" w:eastAsia="仿宋_GB2312" w:cs="Times New Roman"/>
          <w:sz w:val="32"/>
          <w:szCs w:val="32"/>
          <w:lang w:val="en-US" w:eastAsia="zh-CN"/>
        </w:rPr>
        <w:t>经上海市市场监督管理局、江苏省市场监督管理局、浙江省市场监督管理局、安徽省市场监督管理局批准，2022年12月23日，长三角区域地方标准《地质灾害风险调查与评价规范》列入《2022年度第二批长三角区域统一地方标准制修订计划》</w:t>
      </w:r>
      <w:r>
        <w:rPr>
          <w:rFonts w:hint="eastAsia" w:ascii="Times New Roman" w:hAnsi="Times New Roman" w:eastAsia="仿宋_GB2312" w:cs="Times New Roman"/>
          <w:sz w:val="32"/>
          <w:szCs w:val="32"/>
          <w:lang w:val="en-US" w:eastAsia="zh-CN"/>
        </w:rPr>
        <w:t>（</w:t>
      </w:r>
      <w:r>
        <w:rPr>
          <w:rFonts w:hint="default" w:ascii="Times New Roman" w:hAnsi="Times New Roman" w:eastAsia="仿宋_GB2312" w:cs="Times New Roman"/>
          <w:sz w:val="32"/>
          <w:szCs w:val="32"/>
          <w:lang w:val="en-US" w:eastAsia="zh-CN"/>
        </w:rPr>
        <w:t>沪市监标技2022552号</w:t>
      </w:r>
      <w:r>
        <w:rPr>
          <w:rFonts w:hint="eastAsia" w:ascii="Times New Roman" w:hAnsi="Times New Roman" w:eastAsia="仿宋_GB2312" w:cs="Times New Roman"/>
          <w:sz w:val="32"/>
          <w:szCs w:val="32"/>
          <w:lang w:val="en-US" w:eastAsia="zh-CN"/>
        </w:rPr>
        <w:t>）</w:t>
      </w:r>
      <w:r>
        <w:rPr>
          <w:rFonts w:hint="default" w:ascii="Times New Roman" w:hAnsi="Times New Roman" w:eastAsia="仿宋_GB2312" w:cs="Times New Roman"/>
          <w:sz w:val="32"/>
          <w:szCs w:val="32"/>
          <w:lang w:val="en-US" w:eastAsia="zh-CN"/>
        </w:rPr>
        <w:t>。标准由浙江省自然资源厅、上海市规划和自然资源局、江苏省自然资源厅和安徽省自然资源厅共同归口。标准由</w:t>
      </w:r>
      <w:r>
        <w:rPr>
          <w:rFonts w:hint="default" w:ascii="Times New Roman" w:hAnsi="Times New Roman" w:eastAsia="仿宋_GB2312" w:cs="Times New Roman"/>
          <w:sz w:val="32"/>
          <w:szCs w:val="32"/>
        </w:rPr>
        <w:t>浙江省地质院</w:t>
      </w:r>
      <w:r>
        <w:rPr>
          <w:rFonts w:hint="default" w:ascii="Times New Roman" w:hAnsi="Times New Roman" w:eastAsia="仿宋_GB2312" w:cs="Times New Roman"/>
          <w:sz w:val="32"/>
          <w:szCs w:val="32"/>
          <w:lang w:val="en-US" w:eastAsia="zh-CN"/>
        </w:rPr>
        <w:t>牵头，</w:t>
      </w:r>
      <w:r>
        <w:rPr>
          <w:rFonts w:hint="default" w:ascii="Times New Roman" w:hAnsi="Times New Roman" w:eastAsia="仿宋_GB2312" w:cs="Times New Roman"/>
          <w:sz w:val="32"/>
          <w:szCs w:val="32"/>
        </w:rPr>
        <w:t>上海市地质调查研究院</w:t>
      </w:r>
      <w:r>
        <w:rPr>
          <w:rFonts w:hint="default" w:ascii="Times New Roman" w:hAnsi="Times New Roman" w:eastAsia="仿宋_GB2312" w:cs="Times New Roman"/>
          <w:sz w:val="32"/>
          <w:szCs w:val="32"/>
          <w:lang w:val="en-US" w:eastAsia="zh-CN"/>
        </w:rPr>
        <w:t>、</w:t>
      </w:r>
      <w:r>
        <w:rPr>
          <w:rFonts w:hint="default" w:ascii="Times New Roman" w:hAnsi="Times New Roman" w:eastAsia="仿宋_GB2312" w:cs="Times New Roman"/>
          <w:sz w:val="32"/>
          <w:szCs w:val="32"/>
        </w:rPr>
        <w:t>江苏省地质调查研究院</w:t>
      </w:r>
      <w:r>
        <w:rPr>
          <w:rFonts w:hint="default" w:ascii="Times New Roman" w:hAnsi="Times New Roman" w:eastAsia="仿宋_GB2312" w:cs="Times New Roman"/>
          <w:sz w:val="32"/>
          <w:szCs w:val="32"/>
          <w:lang w:val="en-US" w:eastAsia="zh-CN"/>
        </w:rPr>
        <w:t>、</w:t>
      </w:r>
      <w:r>
        <w:rPr>
          <w:rFonts w:hint="default" w:ascii="Times New Roman" w:hAnsi="Times New Roman" w:eastAsia="仿宋_GB2312" w:cs="Times New Roman"/>
          <w:sz w:val="32"/>
          <w:szCs w:val="32"/>
        </w:rPr>
        <w:t>安徽省地质环境监测总站</w:t>
      </w:r>
      <w:r>
        <w:rPr>
          <w:rFonts w:hint="default" w:ascii="Times New Roman" w:hAnsi="Times New Roman" w:eastAsia="仿宋_GB2312" w:cs="Times New Roman"/>
          <w:sz w:val="32"/>
          <w:szCs w:val="32"/>
          <w:lang w:val="en-US" w:eastAsia="zh-CN"/>
        </w:rPr>
        <w:t>共同起草。</w:t>
      </w:r>
    </w:p>
    <w:p w14:paraId="612051EA">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640" w:firstLineChars="200"/>
        <w:textAlignment w:val="auto"/>
        <w:outlineLvl w:val="0"/>
        <w:rPr>
          <w:rFonts w:hint="default" w:ascii="黑体" w:hAnsi="黑体" w:eastAsia="黑体" w:cs="黑体"/>
          <w:kern w:val="2"/>
          <w:sz w:val="32"/>
          <w:szCs w:val="32"/>
          <w:lang w:val="en-US" w:eastAsia="zh-CN" w:bidi="ar-SA"/>
        </w:rPr>
      </w:pPr>
      <w:bookmarkStart w:id="1" w:name="_Toc21033"/>
      <w:r>
        <w:rPr>
          <w:rFonts w:hint="eastAsia" w:ascii="黑体" w:hAnsi="黑体" w:eastAsia="黑体" w:cs="黑体"/>
          <w:kern w:val="2"/>
          <w:sz w:val="32"/>
          <w:szCs w:val="32"/>
          <w:lang w:val="en-US" w:eastAsia="zh-CN" w:bidi="ar-SA"/>
        </w:rPr>
        <w:t>二、</w:t>
      </w:r>
      <w:r>
        <w:rPr>
          <w:rFonts w:hint="default" w:ascii="黑体" w:hAnsi="黑体" w:eastAsia="黑体" w:cs="黑体"/>
          <w:kern w:val="2"/>
          <w:sz w:val="32"/>
          <w:szCs w:val="32"/>
          <w:lang w:val="en-US" w:eastAsia="zh-CN" w:bidi="ar-SA"/>
        </w:rPr>
        <w:t>目的意义</w:t>
      </w:r>
      <w:bookmarkEnd w:id="1"/>
    </w:p>
    <w:p w14:paraId="1E2402D0">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firstLineChars="200"/>
        <w:jc w:val="both"/>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地质灾害风险调查评价是指通过地质灾害与孕灾地质条件、承灾体调查，开展地质灾害易发性、危险性和风险评价与区划，提出地质灾害风险管控对策建议，为防灾减灾管理、国土空间规划和用途管制等提供依据的一项基础性工作。开展地质灾害风险调查评价工作，是落实“从减少灾害损失向减轻灾害风险转变”防灾要求的具体举措，也是进一步破解风险隐患在哪里、地质结构是什么、灾害什么时候发生等问题的重要基础。十三五以来，长三角区域部分地方先行先试，发布了各自的地质灾害风险调查评价标准，如《浙江省乡镇（街道）地质灾害风险调查评价技术要求（1:2000）》、《上海市地面沉降监测与防治技术标准》（DG/TJ 08-2051-2021）《江苏省地质灾害精细调查与风险评价技术要求（1：10000）》等。以上标准在调查手段、评价方法等方面不尽一致，为进一步协同长三角区域三省一市地质灾害风险精细化调查评价目标要求，增强不同阶段风险管控措施实用性和针对性，提升调查工作的规范性，需制定长三角区域统一的地质灾害风险调查评价规范，涵盖突发性地质灾害和缓变性地面沉降、地裂缝地质灾害。</w:t>
      </w:r>
    </w:p>
    <w:p w14:paraId="4FC65DA0">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640" w:firstLineChars="200"/>
        <w:textAlignment w:val="auto"/>
        <w:outlineLvl w:val="0"/>
        <w:rPr>
          <w:rFonts w:hint="default" w:ascii="黑体" w:hAnsi="黑体" w:eastAsia="黑体" w:cs="黑体"/>
          <w:kern w:val="2"/>
          <w:sz w:val="32"/>
          <w:szCs w:val="32"/>
          <w:lang w:val="en-US" w:eastAsia="zh-CN" w:bidi="ar-SA"/>
        </w:rPr>
      </w:pPr>
      <w:bookmarkStart w:id="2" w:name="_Toc2036"/>
      <w:r>
        <w:rPr>
          <w:rFonts w:hint="eastAsia" w:ascii="黑体" w:hAnsi="黑体" w:eastAsia="黑体" w:cs="黑体"/>
          <w:kern w:val="2"/>
          <w:sz w:val="32"/>
          <w:szCs w:val="32"/>
          <w:lang w:val="en-US" w:eastAsia="zh-CN" w:bidi="ar-SA"/>
        </w:rPr>
        <w:t>三、</w:t>
      </w:r>
      <w:r>
        <w:rPr>
          <w:rFonts w:hint="default" w:ascii="黑体" w:hAnsi="黑体" w:eastAsia="黑体" w:cs="黑体"/>
          <w:kern w:val="2"/>
          <w:sz w:val="32"/>
          <w:szCs w:val="32"/>
          <w:lang w:val="en-US" w:eastAsia="zh-CN" w:bidi="ar-SA"/>
        </w:rPr>
        <w:t>编制过程</w:t>
      </w:r>
      <w:bookmarkEnd w:id="2"/>
    </w:p>
    <w:p w14:paraId="41311E32">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firstLineChars="200"/>
        <w:jc w:val="both"/>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（一）标准起草</w:t>
      </w:r>
    </w:p>
    <w:p w14:paraId="62B755CE">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firstLineChars="200"/>
        <w:jc w:val="both"/>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为推动长三角区域地方标准《地质灾害风险调查与评价规范》编制，2022年</w:t>
      </w:r>
      <w:r>
        <w:rPr>
          <w:rFonts w:hint="eastAsia" w:ascii="Times New Roman" w:hAnsi="Times New Roman" w:eastAsia="仿宋_GB2312" w:cs="Times New Roman"/>
          <w:sz w:val="32"/>
          <w:szCs w:val="32"/>
          <w:lang w:val="en-US" w:eastAsia="zh-CN"/>
        </w:rPr>
        <w:t>6</w:t>
      </w:r>
      <w:r>
        <w:rPr>
          <w:rFonts w:hint="default" w:ascii="Times New Roman" w:hAnsi="Times New Roman" w:eastAsia="仿宋_GB2312" w:cs="Times New Roman"/>
          <w:sz w:val="32"/>
          <w:szCs w:val="32"/>
          <w:lang w:val="en-US" w:eastAsia="zh-CN"/>
        </w:rPr>
        <w:t>月，在浙江省自然资源厅、上海市规划和自然资源局、江苏省自然资源厅和安徽省自然资源厅的指导下，由浙江省地质院、上海市地质调查研究院、江苏省地质调查研究院、安徽省地质环境监测总站等组成了标准起草组。在充分收集和分析研究了《地质灾害防治条例》、《地质灾害危险性评估规范》（GB/T 40112—2021）、《建筑边坡工程技术规范》（GB 50330—2013）、《滑坡崩塌泥石流灾害调查规范（1:50000）》（DZ/T 0261—2014）、《崩塌、滑坡、泥石流监测规范》（DZ/T0221－2006）、《工程地质调查规范（1:25000～1:50000）》（DZ/T 0097—1994）、《地面沉降调查与监测规范》（DZ/T 0283-2015）、地面沉降调查与监测规范（DZ/T 0283－2015）《地质灾害风险调查评价技术要求（1:50000）（试行）》、《浙江省乡镇（街道）地质灾害风险调查评价技术要求（1:2000）》、《浙江省城市地质安全风险“一张图”编制技术指南（试行）》、上海市《地面沉降监测与防治技术标准》（DG/TJ 08-2051-2021）《浙江省地质灾害危险性评估规范（DB33/T 881-2012）》、《上海市地质灾害危险性评估管理规定》、《江苏省地质灾害危险性评估技术要求》、《特大城市地面沉降风险评估与区划技术要求（试行）》等文件标准，在结合长三角三省一市地质灾害风险调查评价实践基础上明确了标准的框架结构和各部分主要内容，形成标准草案稿。</w:t>
      </w:r>
    </w:p>
    <w:p w14:paraId="7076AC2B">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firstLineChars="200"/>
        <w:jc w:val="both"/>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（二）标准</w:t>
      </w:r>
      <w:r>
        <w:rPr>
          <w:rFonts w:hint="eastAsia" w:ascii="Times New Roman" w:hAnsi="Times New Roman" w:eastAsia="仿宋_GB2312" w:cs="Times New Roman"/>
          <w:sz w:val="32"/>
          <w:szCs w:val="32"/>
          <w:lang w:val="en-US" w:eastAsia="zh-CN"/>
        </w:rPr>
        <w:t>立项</w:t>
      </w:r>
    </w:p>
    <w:p w14:paraId="694AF267">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firstLineChars="200"/>
        <w:jc w:val="both"/>
        <w:textAlignment w:val="auto"/>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2022年7月5日，</w:t>
      </w:r>
      <w:r>
        <w:rPr>
          <w:rFonts w:hint="default" w:ascii="Times New Roman" w:hAnsi="Times New Roman" w:eastAsia="仿宋_GB2312" w:cs="Times New Roman"/>
          <w:sz w:val="32"/>
          <w:szCs w:val="32"/>
          <w:lang w:val="en-US" w:eastAsia="zh-CN"/>
        </w:rPr>
        <w:t>浙江省自然资源厅、上海市规划和自然资源局、江苏省自然资源厅和安徽省自然资源厅</w:t>
      </w:r>
      <w:r>
        <w:rPr>
          <w:rFonts w:hint="eastAsia" w:ascii="Times New Roman" w:hAnsi="Times New Roman" w:eastAsia="仿宋_GB2312" w:cs="Times New Roman"/>
          <w:sz w:val="32"/>
          <w:szCs w:val="32"/>
          <w:lang w:val="en-US" w:eastAsia="zh-CN"/>
        </w:rPr>
        <w:t>联合提交长三角区域统一地方标准</w:t>
      </w:r>
      <w:r>
        <w:rPr>
          <w:rFonts w:hint="default" w:ascii="Times New Roman" w:hAnsi="Times New Roman" w:eastAsia="仿宋_GB2312" w:cs="Times New Roman"/>
          <w:sz w:val="32"/>
          <w:szCs w:val="32"/>
          <w:lang w:val="en-US" w:eastAsia="zh-CN"/>
        </w:rPr>
        <w:t>《地质灾害风险调查评价规范》</w:t>
      </w:r>
      <w:r>
        <w:rPr>
          <w:rFonts w:hint="eastAsia" w:ascii="Times New Roman" w:hAnsi="Times New Roman" w:eastAsia="仿宋_GB2312" w:cs="Times New Roman"/>
          <w:sz w:val="32"/>
          <w:szCs w:val="32"/>
          <w:lang w:val="en-US" w:eastAsia="zh-CN"/>
        </w:rPr>
        <w:t>立项申请书。2022年12月3日，</w:t>
      </w:r>
      <w:r>
        <w:rPr>
          <w:rFonts w:hint="default" w:ascii="Times New Roman" w:hAnsi="Times New Roman" w:eastAsia="仿宋_GB2312" w:cs="Times New Roman"/>
          <w:sz w:val="32"/>
          <w:szCs w:val="32"/>
          <w:lang w:val="en-US" w:eastAsia="zh-CN"/>
        </w:rPr>
        <w:t>上海市市场监督管理局、江苏省市场监督管理局、浙江省市场监督管理局、安徽省市场监督管理局</w:t>
      </w:r>
      <w:r>
        <w:rPr>
          <w:rFonts w:hint="eastAsia" w:ascii="Times New Roman" w:hAnsi="Times New Roman" w:eastAsia="仿宋_GB2312" w:cs="Times New Roman"/>
          <w:sz w:val="32"/>
          <w:szCs w:val="32"/>
          <w:lang w:val="en-US" w:eastAsia="zh-CN"/>
        </w:rPr>
        <w:t>联合召开长三角区域地方标准立项论证评估会，</w:t>
      </w:r>
      <w:r>
        <w:rPr>
          <w:rFonts w:hint="default" w:ascii="Times New Roman" w:hAnsi="Times New Roman" w:eastAsia="仿宋_GB2312" w:cs="Times New Roman"/>
          <w:sz w:val="32"/>
          <w:szCs w:val="32"/>
          <w:lang w:val="en-US" w:eastAsia="zh-CN"/>
        </w:rPr>
        <w:t>《地质灾害风险调查评价规范》</w:t>
      </w:r>
      <w:r>
        <w:rPr>
          <w:rFonts w:hint="eastAsia" w:ascii="Times New Roman" w:hAnsi="Times New Roman" w:eastAsia="仿宋_GB2312" w:cs="Times New Roman"/>
          <w:sz w:val="32"/>
          <w:szCs w:val="32"/>
          <w:lang w:val="en-US" w:eastAsia="zh-CN"/>
        </w:rPr>
        <w:t>通过评估并按照专家意见修改名称为</w:t>
      </w:r>
      <w:r>
        <w:rPr>
          <w:rFonts w:hint="default" w:ascii="Times New Roman" w:hAnsi="Times New Roman" w:eastAsia="仿宋_GB2312" w:cs="Times New Roman"/>
          <w:sz w:val="32"/>
          <w:szCs w:val="32"/>
          <w:lang w:val="en-US" w:eastAsia="zh-CN"/>
        </w:rPr>
        <w:t>《地质灾害风险调查</w:t>
      </w:r>
      <w:r>
        <w:rPr>
          <w:rFonts w:hint="eastAsia" w:ascii="Times New Roman" w:hAnsi="Times New Roman" w:eastAsia="仿宋_GB2312" w:cs="Times New Roman"/>
          <w:sz w:val="32"/>
          <w:szCs w:val="32"/>
          <w:lang w:val="en-US" w:eastAsia="zh-CN"/>
        </w:rPr>
        <w:t>与</w:t>
      </w:r>
      <w:r>
        <w:rPr>
          <w:rFonts w:hint="default" w:ascii="Times New Roman" w:hAnsi="Times New Roman" w:eastAsia="仿宋_GB2312" w:cs="Times New Roman"/>
          <w:sz w:val="32"/>
          <w:szCs w:val="32"/>
          <w:lang w:val="en-US" w:eastAsia="zh-CN"/>
        </w:rPr>
        <w:t>评价规范》</w:t>
      </w:r>
      <w:r>
        <w:rPr>
          <w:rFonts w:hint="eastAsia" w:ascii="Times New Roman" w:hAnsi="Times New Roman" w:eastAsia="仿宋_GB2312" w:cs="Times New Roman"/>
          <w:sz w:val="32"/>
          <w:szCs w:val="32"/>
          <w:lang w:val="en-US" w:eastAsia="zh-CN"/>
        </w:rPr>
        <w:t>。</w:t>
      </w:r>
      <w:r>
        <w:rPr>
          <w:rFonts w:hint="default" w:ascii="Times New Roman" w:hAnsi="Times New Roman" w:eastAsia="仿宋_GB2312" w:cs="Times New Roman"/>
          <w:sz w:val="32"/>
          <w:szCs w:val="32"/>
          <w:lang w:val="en-US" w:eastAsia="zh-CN"/>
        </w:rPr>
        <w:t>2022年12月23日</w:t>
      </w:r>
      <w:r>
        <w:rPr>
          <w:rFonts w:hint="eastAsia" w:ascii="Times New Roman" w:hAnsi="Times New Roman" w:eastAsia="仿宋_GB2312" w:cs="Times New Roman"/>
          <w:sz w:val="32"/>
          <w:szCs w:val="32"/>
          <w:lang w:val="en-US" w:eastAsia="zh-CN"/>
        </w:rPr>
        <w:t>，三角区三省一市市场监督管理局联合发布</w:t>
      </w:r>
      <w:r>
        <w:rPr>
          <w:rFonts w:hint="default" w:ascii="Times New Roman" w:hAnsi="Times New Roman" w:eastAsia="仿宋_GB2312" w:cs="Times New Roman"/>
          <w:sz w:val="32"/>
          <w:szCs w:val="32"/>
          <w:lang w:val="en-US" w:eastAsia="zh-CN"/>
        </w:rPr>
        <w:t>《2022年度第二批长三角区域统一地方标准制修订计划》</w:t>
      </w:r>
      <w:r>
        <w:rPr>
          <w:rFonts w:hint="eastAsia" w:ascii="Times New Roman" w:hAnsi="Times New Roman" w:eastAsia="仿宋_GB2312" w:cs="Times New Roman"/>
          <w:sz w:val="32"/>
          <w:szCs w:val="32"/>
          <w:lang w:val="en-US" w:eastAsia="zh-CN"/>
        </w:rPr>
        <w:t>（</w:t>
      </w:r>
      <w:r>
        <w:rPr>
          <w:rFonts w:hint="default" w:ascii="Times New Roman" w:hAnsi="Times New Roman" w:eastAsia="仿宋_GB2312" w:cs="Times New Roman"/>
          <w:sz w:val="32"/>
          <w:szCs w:val="32"/>
          <w:lang w:val="en-US" w:eastAsia="zh-CN"/>
        </w:rPr>
        <w:t>沪市监标技2022552号</w:t>
      </w:r>
      <w:r>
        <w:rPr>
          <w:rFonts w:hint="eastAsia" w:ascii="Times New Roman" w:hAnsi="Times New Roman" w:eastAsia="仿宋_GB2312" w:cs="Times New Roman"/>
          <w:sz w:val="32"/>
          <w:szCs w:val="32"/>
          <w:lang w:val="en-US" w:eastAsia="zh-CN"/>
        </w:rPr>
        <w:t>），</w:t>
      </w:r>
      <w:r>
        <w:rPr>
          <w:rFonts w:hint="default" w:ascii="Times New Roman" w:hAnsi="Times New Roman" w:eastAsia="仿宋_GB2312" w:cs="Times New Roman"/>
          <w:sz w:val="32"/>
          <w:szCs w:val="32"/>
          <w:lang w:val="en-US" w:eastAsia="zh-CN"/>
        </w:rPr>
        <w:t>《地质灾害风险调查</w:t>
      </w:r>
      <w:r>
        <w:rPr>
          <w:rFonts w:hint="eastAsia" w:ascii="Times New Roman" w:hAnsi="Times New Roman" w:eastAsia="仿宋_GB2312" w:cs="Times New Roman"/>
          <w:sz w:val="32"/>
          <w:szCs w:val="32"/>
          <w:lang w:val="en-US" w:eastAsia="zh-CN"/>
        </w:rPr>
        <w:t>与</w:t>
      </w:r>
      <w:r>
        <w:rPr>
          <w:rFonts w:hint="default" w:ascii="Times New Roman" w:hAnsi="Times New Roman" w:eastAsia="仿宋_GB2312" w:cs="Times New Roman"/>
          <w:sz w:val="32"/>
          <w:szCs w:val="32"/>
          <w:lang w:val="en-US" w:eastAsia="zh-CN"/>
        </w:rPr>
        <w:t>评价规范》</w:t>
      </w:r>
      <w:r>
        <w:rPr>
          <w:rFonts w:hint="eastAsia" w:ascii="Times New Roman" w:hAnsi="Times New Roman" w:eastAsia="仿宋_GB2312" w:cs="Times New Roman"/>
          <w:sz w:val="32"/>
          <w:szCs w:val="32"/>
          <w:lang w:val="en-US" w:eastAsia="zh-CN"/>
        </w:rPr>
        <w:t>列入长三角地方标准制修订计划。</w:t>
      </w:r>
    </w:p>
    <w:p w14:paraId="0CE70C45">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firstLineChars="200"/>
        <w:jc w:val="both"/>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w:t>
      </w:r>
      <w:r>
        <w:rPr>
          <w:rFonts w:hint="eastAsia" w:ascii="Times New Roman" w:hAnsi="Times New Roman" w:eastAsia="仿宋_GB2312" w:cs="Times New Roman"/>
          <w:sz w:val="32"/>
          <w:szCs w:val="32"/>
          <w:lang w:val="en-US" w:eastAsia="zh-CN"/>
        </w:rPr>
        <w:t>三</w:t>
      </w:r>
      <w:r>
        <w:rPr>
          <w:rFonts w:hint="default" w:ascii="Times New Roman" w:hAnsi="Times New Roman" w:eastAsia="仿宋_GB2312" w:cs="Times New Roman"/>
          <w:sz w:val="32"/>
          <w:szCs w:val="32"/>
          <w:lang w:val="en-US" w:eastAsia="zh-CN"/>
        </w:rPr>
        <w:t>）</w:t>
      </w:r>
      <w:r>
        <w:rPr>
          <w:rFonts w:hint="eastAsia" w:ascii="Times New Roman" w:hAnsi="Times New Roman" w:eastAsia="仿宋_GB2312" w:cs="Times New Roman"/>
          <w:sz w:val="32"/>
          <w:szCs w:val="32"/>
          <w:lang w:val="en-US" w:eastAsia="zh-CN"/>
        </w:rPr>
        <w:t>完善阶段</w:t>
      </w:r>
    </w:p>
    <w:p w14:paraId="587CF4F5">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firstLineChars="200"/>
        <w:jc w:val="both"/>
        <w:textAlignment w:val="auto"/>
        <w:rPr>
          <w:rFonts w:hint="default"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2023年8月，在浙江召开编制组工作会议，统一标准编制思想，明确标准定位、精度等关键问题，明确由浙江省牵头编制崩塌、滑坡、泥石流相关内容，上海市牵头编制地面沉降相关内容，江苏省牵头编制地裂缝相关内容，安徽省牵头编制地面塌陷部分内容。同年9月，2024年1月、5月，分别在江苏、上海、安徽组织召开编制专家研讨会，集中研讨标准主要框架和重点章节条款，进一步明确标准适用范围、工作部署层级，优化部分灾种评价方法、重要指标设置、成果表达形式等重点问题，进一步对标准。2024年6月，三省一市完成向三省一市自然资源主管部门、企事业单位、科研院校、社会团体等单位征求意见，共回收意见146条。2024年7月，在浙江召开编制组工作会议，重点对章节设置、精度设置、工作量定额、适用灾种、调查工作层级、评价分级等意见进行研讨，决定采纳的意见109条，部分采纳的意见22条，未采纳的意见15条。</w:t>
      </w:r>
    </w:p>
    <w:p w14:paraId="583ECE74">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640" w:firstLineChars="200"/>
        <w:textAlignment w:val="auto"/>
        <w:outlineLvl w:val="0"/>
        <w:rPr>
          <w:rFonts w:hint="default" w:ascii="黑体" w:hAnsi="黑体" w:eastAsia="黑体" w:cs="黑体"/>
          <w:kern w:val="2"/>
          <w:sz w:val="32"/>
          <w:szCs w:val="32"/>
          <w:lang w:val="en-US" w:eastAsia="zh-CN" w:bidi="ar-SA"/>
        </w:rPr>
      </w:pPr>
      <w:bookmarkStart w:id="3" w:name="_Toc21967"/>
      <w:r>
        <w:rPr>
          <w:rFonts w:hint="eastAsia" w:ascii="黑体" w:hAnsi="黑体" w:eastAsia="黑体" w:cs="黑体"/>
          <w:kern w:val="2"/>
          <w:sz w:val="32"/>
          <w:szCs w:val="32"/>
          <w:lang w:val="en-US" w:eastAsia="zh-CN" w:bidi="ar-SA"/>
        </w:rPr>
        <w:t>四、编制原则和主要内容</w:t>
      </w:r>
      <w:bookmarkEnd w:id="3"/>
    </w:p>
    <w:p w14:paraId="26E198E8">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firstLineChars="200"/>
        <w:jc w:val="both"/>
        <w:textAlignment w:val="auto"/>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（一）编制原则</w:t>
      </w:r>
    </w:p>
    <w:p w14:paraId="2354B97F">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firstLineChars="200"/>
        <w:jc w:val="both"/>
        <w:textAlignment w:val="auto"/>
        <w:rPr>
          <w:rFonts w:hint="default"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本标准依据《标准化工作导则第1部分:标准化文件的结构和起草规则》（GB/T1.1-2020）的要求和规定，遵循“一致性、协调性、易用性”的编制原则，在广泛调研、征求意见、专家咨询的基础上制定的。</w:t>
      </w:r>
    </w:p>
    <w:p w14:paraId="7C789FE2">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firstLineChars="200"/>
        <w:jc w:val="both"/>
        <w:textAlignment w:val="auto"/>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（二）主要内容</w:t>
      </w:r>
    </w:p>
    <w:p w14:paraId="21672B50">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firstLineChars="200"/>
        <w:jc w:val="both"/>
        <w:textAlignment w:val="auto"/>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本标准主要包括13个章节和14个附录（2个规范性附录和12个资料性附录）。章节包括：1.范围、2.规范性引用文件、3.术语和定义、4.符号和缩略语、5.总则、6.调查评价单元划分、7.基本调查方法、8.孕灾地质条件调查、9.地质灾害及隐患调查、10.承灾体调查、11.地质灾害风险评价、12.风险管控、13.设计书、成果编制与验收；附录包括：A.地质灾害调查新技术、新方法及其适用范围、B.斜坡单元划分流程、C.野外调查记录表（规范性）、D.岩土体测试项目及成果参数表、E岩土体的类型与结构、F.工程地质岩组及岩石风化程度划分、G.斜坡结构类型划分方案、H.地质灾害分类表（规范性）、I.地质灾害风险评价方法、J.降雨阈值研究的主要方法、K.地质灾害风险区风险管控图册编制要求、L.设计书编写提纲、M.野外工作总结报告编写提纲、N.成果报告编写提纲。</w:t>
      </w:r>
    </w:p>
    <w:p w14:paraId="1048ACD9">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firstLineChars="200"/>
        <w:jc w:val="both"/>
        <w:textAlignment w:val="auto"/>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kern w:val="2"/>
          <w:sz w:val="32"/>
          <w:szCs w:val="32"/>
          <w:lang w:val="en-US" w:eastAsia="zh-CN" w:bidi="ar-SA"/>
        </w:rPr>
        <w:t>1.</w:t>
      </w:r>
      <w:r>
        <w:rPr>
          <w:rFonts w:hint="eastAsia" w:ascii="Times New Roman" w:hAnsi="Times New Roman" w:eastAsia="仿宋_GB2312" w:cs="Times New Roman"/>
          <w:sz w:val="32"/>
          <w:szCs w:val="32"/>
          <w:lang w:val="en-US" w:eastAsia="zh-CN"/>
        </w:rPr>
        <w:t>范围</w:t>
      </w:r>
    </w:p>
    <w:p w14:paraId="54511EFF">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firstLineChars="200"/>
        <w:jc w:val="both"/>
        <w:textAlignment w:val="auto"/>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明确本标准适用的范围和主要内容。</w:t>
      </w:r>
    </w:p>
    <w:p w14:paraId="092AAA7D">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firstLineChars="200"/>
        <w:jc w:val="both"/>
        <w:textAlignment w:val="auto"/>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kern w:val="2"/>
          <w:sz w:val="32"/>
          <w:szCs w:val="32"/>
          <w:lang w:val="en-US" w:eastAsia="zh-CN" w:bidi="ar-SA"/>
        </w:rPr>
        <w:t>2.</w:t>
      </w:r>
      <w:r>
        <w:rPr>
          <w:rFonts w:hint="eastAsia" w:ascii="Times New Roman" w:hAnsi="Times New Roman" w:eastAsia="仿宋_GB2312" w:cs="Times New Roman"/>
          <w:sz w:val="32"/>
          <w:szCs w:val="32"/>
          <w:lang w:val="en-US" w:eastAsia="zh-CN"/>
        </w:rPr>
        <w:t>规范性引用文件</w:t>
      </w:r>
    </w:p>
    <w:p w14:paraId="10040FAA">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firstLineChars="200"/>
        <w:jc w:val="both"/>
        <w:textAlignment w:val="auto"/>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明确本标准引用的其他相关标准的名称和期限。</w:t>
      </w:r>
    </w:p>
    <w:p w14:paraId="0B8D0B99">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640" w:firstLineChars="200"/>
        <w:jc w:val="both"/>
        <w:textAlignment w:val="auto"/>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kern w:val="2"/>
          <w:sz w:val="32"/>
          <w:szCs w:val="32"/>
          <w:lang w:val="en-US" w:eastAsia="zh-CN" w:bidi="ar-SA"/>
        </w:rPr>
        <w:t>3.</w:t>
      </w:r>
      <w:r>
        <w:rPr>
          <w:rFonts w:hint="eastAsia" w:ascii="Times New Roman" w:hAnsi="Times New Roman" w:eastAsia="仿宋_GB2312" w:cs="Times New Roman"/>
          <w:sz w:val="32"/>
          <w:szCs w:val="32"/>
          <w:lang w:val="en-US" w:eastAsia="zh-CN"/>
        </w:rPr>
        <w:t>术语和定义</w:t>
      </w:r>
    </w:p>
    <w:p w14:paraId="1ADAA3F7">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firstLineChars="200"/>
        <w:jc w:val="both"/>
        <w:textAlignment w:val="auto"/>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明确本标准采用的专有名词的定义。</w:t>
      </w:r>
    </w:p>
    <w:p w14:paraId="0DB70388">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640" w:firstLineChars="200"/>
        <w:jc w:val="both"/>
        <w:textAlignment w:val="auto"/>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kern w:val="2"/>
          <w:sz w:val="32"/>
          <w:szCs w:val="32"/>
          <w:lang w:val="en-US" w:eastAsia="zh-CN" w:bidi="ar-SA"/>
        </w:rPr>
        <w:t>4.</w:t>
      </w:r>
      <w:r>
        <w:rPr>
          <w:rFonts w:hint="eastAsia" w:ascii="Times New Roman" w:hAnsi="Times New Roman" w:eastAsia="仿宋_GB2312" w:cs="Times New Roman"/>
          <w:sz w:val="32"/>
          <w:szCs w:val="32"/>
          <w:lang w:val="en-US" w:eastAsia="zh-CN"/>
        </w:rPr>
        <w:t>符号和缩略语</w:t>
      </w:r>
    </w:p>
    <w:p w14:paraId="7CFEE2E4">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firstLineChars="200"/>
        <w:jc w:val="both"/>
        <w:textAlignment w:val="auto"/>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明确本标准出现的英文专有缩略语的中文释义。</w:t>
      </w:r>
    </w:p>
    <w:p w14:paraId="17010477">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640" w:firstLineChars="200"/>
        <w:jc w:val="both"/>
        <w:textAlignment w:val="auto"/>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kern w:val="2"/>
          <w:sz w:val="32"/>
          <w:szCs w:val="32"/>
          <w:lang w:val="en-US" w:eastAsia="zh-CN" w:bidi="ar-SA"/>
        </w:rPr>
        <w:t>5.</w:t>
      </w:r>
      <w:r>
        <w:rPr>
          <w:rFonts w:hint="eastAsia" w:ascii="Times New Roman" w:hAnsi="Times New Roman" w:eastAsia="仿宋_GB2312" w:cs="Times New Roman"/>
          <w:sz w:val="32"/>
          <w:szCs w:val="32"/>
          <w:lang w:val="en-US" w:eastAsia="zh-CN"/>
        </w:rPr>
        <w:t>总则</w:t>
      </w:r>
    </w:p>
    <w:p w14:paraId="636601CB">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firstLineChars="200"/>
        <w:jc w:val="both"/>
        <w:textAlignment w:val="auto"/>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明确地质灾害风险调查评价工作的目的、任务、基本工作量、原则性要求和工作流程。</w:t>
      </w:r>
    </w:p>
    <w:p w14:paraId="340880F3">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firstLineChars="200"/>
        <w:jc w:val="both"/>
        <w:textAlignment w:val="auto"/>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6.</w:t>
      </w:r>
      <w:bookmarkStart w:id="4" w:name="_Toc176194074"/>
      <w:r>
        <w:rPr>
          <w:rFonts w:hint="eastAsia" w:ascii="Times New Roman" w:hAnsi="Times New Roman" w:eastAsia="仿宋_GB2312" w:cs="Times New Roman"/>
          <w:sz w:val="32"/>
          <w:szCs w:val="32"/>
          <w:lang w:val="en-US" w:eastAsia="zh-CN"/>
        </w:rPr>
        <w:t>调查评价单元划分</w:t>
      </w:r>
      <w:bookmarkEnd w:id="4"/>
    </w:p>
    <w:p w14:paraId="649CE1FE">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firstLineChars="200"/>
        <w:jc w:val="both"/>
        <w:textAlignment w:val="auto"/>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明确不同灾种调查单元划分的原则。</w:t>
      </w:r>
    </w:p>
    <w:p w14:paraId="49C37C24">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firstLineChars="200"/>
        <w:jc w:val="both"/>
        <w:textAlignment w:val="auto"/>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kern w:val="2"/>
          <w:sz w:val="32"/>
          <w:szCs w:val="32"/>
          <w:lang w:val="en-US" w:eastAsia="zh-CN" w:bidi="ar-SA"/>
        </w:rPr>
        <w:t>7.</w:t>
      </w:r>
      <w:r>
        <w:rPr>
          <w:rFonts w:hint="eastAsia" w:ascii="Times New Roman" w:hAnsi="Times New Roman" w:eastAsia="仿宋_GB2312" w:cs="Times New Roman"/>
          <w:sz w:val="32"/>
          <w:szCs w:val="32"/>
          <w:lang w:val="en-US" w:eastAsia="zh-CN"/>
        </w:rPr>
        <w:t>基本调查方法</w:t>
      </w:r>
    </w:p>
    <w:p w14:paraId="4E605D56">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firstLineChars="200"/>
        <w:jc w:val="both"/>
        <w:textAlignment w:val="auto"/>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明确资料收集、遥感调查、地面调查、物探、专探、山地工程、测试与试验等调查手段的内容、精度等要求。</w:t>
      </w:r>
    </w:p>
    <w:p w14:paraId="46273D5D">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firstLineChars="200"/>
        <w:jc w:val="both"/>
        <w:textAlignment w:val="auto"/>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kern w:val="2"/>
          <w:sz w:val="32"/>
          <w:szCs w:val="32"/>
          <w:lang w:val="en-US" w:eastAsia="zh-CN" w:bidi="ar-SA"/>
        </w:rPr>
        <w:t>8.</w:t>
      </w:r>
      <w:r>
        <w:rPr>
          <w:rFonts w:hint="eastAsia" w:ascii="Times New Roman" w:hAnsi="Times New Roman" w:eastAsia="仿宋_GB2312" w:cs="Times New Roman"/>
          <w:sz w:val="32"/>
          <w:szCs w:val="32"/>
          <w:lang w:val="en-US" w:eastAsia="zh-CN"/>
        </w:rPr>
        <w:t>孕灾地质条件调查</w:t>
      </w:r>
    </w:p>
    <w:p w14:paraId="3E5150B4">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firstLineChars="200"/>
        <w:jc w:val="both"/>
        <w:textAlignment w:val="auto"/>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明确孕灾地质条件调查的对象、范围、内容和手段。</w:t>
      </w:r>
    </w:p>
    <w:p w14:paraId="6A964F45">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firstLineChars="200"/>
        <w:jc w:val="both"/>
        <w:textAlignment w:val="auto"/>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kern w:val="2"/>
          <w:sz w:val="32"/>
          <w:szCs w:val="32"/>
          <w:lang w:val="en-US" w:eastAsia="zh-CN" w:bidi="ar-SA"/>
        </w:rPr>
        <w:t>9.</w:t>
      </w:r>
      <w:r>
        <w:rPr>
          <w:rFonts w:hint="eastAsia" w:ascii="Times New Roman" w:hAnsi="Times New Roman" w:eastAsia="仿宋_GB2312" w:cs="Times New Roman"/>
          <w:sz w:val="32"/>
          <w:szCs w:val="32"/>
          <w:lang w:val="en-US" w:eastAsia="zh-CN"/>
        </w:rPr>
        <w:t>地质灾害及隐患调查</w:t>
      </w:r>
    </w:p>
    <w:p w14:paraId="086C29BE">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firstLineChars="200"/>
        <w:jc w:val="both"/>
        <w:textAlignment w:val="auto"/>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明确滑坡、崩塌、泥石流、地面塌陷、地面沉降和地裂缝等灾种的调查工作层次、手段、内容和精度。</w:t>
      </w:r>
    </w:p>
    <w:p w14:paraId="2086E9EF">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firstLineChars="200"/>
        <w:jc w:val="both"/>
        <w:textAlignment w:val="auto"/>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kern w:val="2"/>
          <w:sz w:val="32"/>
          <w:szCs w:val="32"/>
          <w:lang w:val="en-US" w:eastAsia="zh-CN" w:bidi="ar-SA"/>
        </w:rPr>
        <w:t>10.</w:t>
      </w:r>
      <w:r>
        <w:rPr>
          <w:rFonts w:hint="eastAsia" w:ascii="Times New Roman" w:hAnsi="Times New Roman" w:eastAsia="仿宋_GB2312" w:cs="Times New Roman"/>
          <w:sz w:val="32"/>
          <w:szCs w:val="32"/>
          <w:lang w:val="en-US" w:eastAsia="zh-CN"/>
        </w:rPr>
        <w:t>承灾体调查</w:t>
      </w:r>
    </w:p>
    <w:p w14:paraId="4D02DE7B">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firstLineChars="200"/>
        <w:jc w:val="both"/>
        <w:textAlignment w:val="auto"/>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明确承灾体调查的对象、手段和内容。</w:t>
      </w:r>
    </w:p>
    <w:p w14:paraId="0A49A5E5">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firstLineChars="200"/>
        <w:jc w:val="both"/>
        <w:textAlignment w:val="auto"/>
        <w:rPr>
          <w:rFonts w:hint="default"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11.地质灾害风险评价</w:t>
      </w:r>
    </w:p>
    <w:p w14:paraId="0C36A237">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firstLineChars="200"/>
        <w:jc w:val="both"/>
        <w:textAlignment w:val="auto"/>
        <w:rPr>
          <w:rFonts w:hint="default"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明确按灾种明确地质灾害风险评价的过程、内容和方法。</w:t>
      </w:r>
    </w:p>
    <w:p w14:paraId="176C399F">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firstLineChars="200"/>
        <w:jc w:val="both"/>
        <w:textAlignment w:val="auto"/>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kern w:val="2"/>
          <w:sz w:val="32"/>
          <w:szCs w:val="32"/>
          <w:lang w:val="en-US" w:eastAsia="zh-CN" w:bidi="ar-SA"/>
        </w:rPr>
        <w:t>12.</w:t>
      </w:r>
      <w:r>
        <w:rPr>
          <w:rFonts w:hint="eastAsia" w:ascii="Times New Roman" w:hAnsi="Times New Roman" w:eastAsia="仿宋_GB2312" w:cs="Times New Roman"/>
          <w:sz w:val="32"/>
          <w:szCs w:val="32"/>
          <w:lang w:val="en-US" w:eastAsia="zh-CN"/>
        </w:rPr>
        <w:t>风险管控</w:t>
      </w:r>
    </w:p>
    <w:p w14:paraId="02F34CD2">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firstLineChars="200"/>
        <w:jc w:val="both"/>
        <w:textAlignment w:val="auto"/>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明确突发性地质灾害降雨阈值研究的对象灾种和方法，提出地质灾害风险管控的原则性建议。</w:t>
      </w:r>
    </w:p>
    <w:p w14:paraId="1A2BDA88">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firstLineChars="200"/>
        <w:jc w:val="both"/>
        <w:textAlignment w:val="auto"/>
        <w:rPr>
          <w:rFonts w:hint="default"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13.设计书、成果编制与验收</w:t>
      </w:r>
    </w:p>
    <w:p w14:paraId="00996F28">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firstLineChars="200"/>
        <w:jc w:val="both"/>
        <w:textAlignment w:val="auto"/>
        <w:rPr>
          <w:rFonts w:hint="default"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明确设计书、成果报告、图件、数据库的编制及审查的内容和工作要求。</w:t>
      </w:r>
    </w:p>
    <w:p w14:paraId="1A7F6AC8">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firstLineChars="200"/>
        <w:jc w:val="both"/>
        <w:textAlignment w:val="auto"/>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kern w:val="2"/>
          <w:sz w:val="32"/>
          <w:szCs w:val="32"/>
          <w:lang w:val="en-US" w:eastAsia="zh-CN" w:bidi="ar-SA"/>
        </w:rPr>
        <w:t>14.</w:t>
      </w:r>
      <w:r>
        <w:rPr>
          <w:rFonts w:hint="eastAsia" w:ascii="Times New Roman" w:hAnsi="Times New Roman" w:eastAsia="仿宋_GB2312" w:cs="Times New Roman"/>
          <w:sz w:val="32"/>
          <w:szCs w:val="32"/>
          <w:lang w:val="en-US" w:eastAsia="zh-CN"/>
        </w:rPr>
        <w:t>附录</w:t>
      </w:r>
    </w:p>
    <w:p w14:paraId="4A91125B">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firstLineChars="200"/>
        <w:jc w:val="both"/>
        <w:textAlignment w:val="auto"/>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规定野外调查的记录格式和内容、地质灾害分类标准。提出地质灾害调查新技术方法、斜坡单元划分流程、岩土体测试项目、岩土体结构类型划分、斜坡结构类型划分、工程岩组及岩石风化程度类型划分、地质灾害风险评价方法、降雨阈值研究方法、风险管控图册编制、设计书编制、野外工作总结编制、成果报告编制的建议要求。</w:t>
      </w:r>
    </w:p>
    <w:p w14:paraId="07DDBBE5">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640" w:firstLineChars="200"/>
        <w:textAlignment w:val="auto"/>
        <w:outlineLvl w:val="0"/>
        <w:rPr>
          <w:rFonts w:hint="default" w:ascii="黑体" w:hAnsi="黑体" w:eastAsia="黑体" w:cs="黑体"/>
          <w:kern w:val="2"/>
          <w:sz w:val="32"/>
          <w:szCs w:val="32"/>
          <w:lang w:val="en-US" w:eastAsia="zh-CN" w:bidi="ar-SA"/>
        </w:rPr>
      </w:pPr>
      <w:bookmarkStart w:id="5" w:name="_Toc8437"/>
      <w:r>
        <w:rPr>
          <w:rFonts w:hint="eastAsia" w:ascii="黑体" w:hAnsi="黑体" w:eastAsia="黑体" w:cs="黑体"/>
          <w:kern w:val="2"/>
          <w:sz w:val="32"/>
          <w:szCs w:val="32"/>
          <w:lang w:val="en-US" w:eastAsia="zh-CN" w:bidi="ar-SA"/>
        </w:rPr>
        <w:t>五、主要试验（或验证）的分析、综述报告</w:t>
      </w:r>
      <w:bookmarkEnd w:id="5"/>
    </w:p>
    <w:p w14:paraId="2C438528">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firstLineChars="200"/>
        <w:jc w:val="both"/>
        <w:textAlignment w:val="auto"/>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本标准编制目的总结地质灾害发育分布规律，分析地质灾害形成机理和成灾模式的基础上，综合运用资料收集、地面调查、勘查以及卫星遥感、InSAR等新技术、新方法和新手段，以斜坡、沉降分布区域和或可溶岩或地下采空分布区域为基本单元，调查孕灾地质环境条件，识别地质灾害致灾体和承灾体，评价地质灾害易发性、危险性、风险等级，研究地质灾害的降雨预警阈值，提出风险管控对策措施建议，为地方政府组织实施地质灾害防治工作提供依据。</w:t>
      </w:r>
    </w:p>
    <w:p w14:paraId="5BA1DE7E">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firstLineChars="200"/>
        <w:jc w:val="both"/>
        <w:textAlignment w:val="auto"/>
        <w:rPr>
          <w:rFonts w:hint="default"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（一）标准适用范围</w:t>
      </w:r>
    </w:p>
    <w:p w14:paraId="50FFD66D">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firstLineChars="200"/>
        <w:jc w:val="both"/>
        <w:textAlignment w:val="auto"/>
        <w:rPr>
          <w:rFonts w:hint="default"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长三角区域地质灾害发育类型为滑坡、崩塌、泥石流、地面塌陷、地面沉降、地裂缝等六类。经讨论，</w:t>
      </w:r>
      <w:r>
        <w:rPr>
          <w:rFonts w:hint="default" w:ascii="Times New Roman" w:hAnsi="Times New Roman" w:eastAsia="仿宋_GB2312" w:cs="Times New Roman"/>
          <w:sz w:val="32"/>
          <w:szCs w:val="32"/>
          <w:lang w:val="en-US" w:eastAsia="zh-CN"/>
        </w:rPr>
        <w:t>确定本</w:t>
      </w:r>
      <w:r>
        <w:rPr>
          <w:rFonts w:hint="eastAsia" w:ascii="Times New Roman" w:hAnsi="Times New Roman" w:eastAsia="仿宋_GB2312" w:cs="Times New Roman"/>
          <w:sz w:val="32"/>
          <w:szCs w:val="32"/>
          <w:lang w:val="en-US" w:eastAsia="zh-CN"/>
        </w:rPr>
        <w:t>标准</w:t>
      </w:r>
      <w:r>
        <w:rPr>
          <w:rFonts w:hint="default" w:ascii="Times New Roman" w:hAnsi="Times New Roman" w:eastAsia="仿宋_GB2312" w:cs="Times New Roman"/>
          <w:sz w:val="32"/>
          <w:szCs w:val="32"/>
          <w:lang w:val="en-US" w:eastAsia="zh-CN"/>
        </w:rPr>
        <w:t>适用于以</w:t>
      </w:r>
      <w:r>
        <w:rPr>
          <w:rFonts w:hint="eastAsia" w:ascii="Times New Roman" w:hAnsi="Times New Roman" w:eastAsia="仿宋_GB2312" w:cs="Times New Roman"/>
          <w:sz w:val="32"/>
          <w:szCs w:val="32"/>
          <w:lang w:val="en-US" w:eastAsia="zh-CN"/>
        </w:rPr>
        <w:t>滑坡、崩塌、泥石流、地面塌陷、地面沉降、地裂缝</w:t>
      </w:r>
      <w:r>
        <w:rPr>
          <w:rFonts w:hint="default" w:ascii="Times New Roman" w:hAnsi="Times New Roman" w:eastAsia="仿宋_GB2312" w:cs="Times New Roman"/>
          <w:sz w:val="32"/>
          <w:szCs w:val="32"/>
          <w:lang w:val="en-US" w:eastAsia="zh-CN"/>
        </w:rPr>
        <w:t>地质灾害风险调查评价工作。</w:t>
      </w:r>
      <w:r>
        <w:rPr>
          <w:rFonts w:hint="eastAsia" w:ascii="Times New Roman" w:hAnsi="Times New Roman" w:eastAsia="仿宋_GB2312" w:cs="Times New Roman"/>
          <w:sz w:val="32"/>
          <w:szCs w:val="32"/>
          <w:lang w:val="en-US" w:eastAsia="zh-CN"/>
        </w:rPr>
        <w:t>区别于小比例尺区域性地质灾害风险调查评价，本标准定位为指导开展大比例尺</w:t>
      </w:r>
      <w:r>
        <w:rPr>
          <w:rFonts w:hint="default" w:ascii="Times New Roman" w:hAnsi="Times New Roman" w:eastAsia="仿宋_GB2312" w:cs="Times New Roman"/>
          <w:sz w:val="32"/>
          <w:szCs w:val="32"/>
          <w:lang w:val="en-US" w:eastAsia="zh-CN"/>
        </w:rPr>
        <w:t>精细化地质灾害风险调查评价</w:t>
      </w:r>
      <w:r>
        <w:rPr>
          <w:rFonts w:hint="eastAsia" w:ascii="Times New Roman" w:hAnsi="Times New Roman" w:eastAsia="仿宋_GB2312" w:cs="Times New Roman"/>
          <w:sz w:val="32"/>
          <w:szCs w:val="32"/>
          <w:lang w:val="en-US" w:eastAsia="zh-CN"/>
        </w:rPr>
        <w:t>工作，为协调项目实施周期和工作量布设，部署区域以乡镇、村庄和规划区为主，更大范围行政区域可参考执行。</w:t>
      </w:r>
    </w:p>
    <w:p w14:paraId="6470AAB2">
      <w:pPr>
        <w:keepNext w:val="0"/>
        <w:keepLines w:val="0"/>
        <w:pageBreakBefore w:val="0"/>
        <w:widowControl w:val="0"/>
        <w:numPr>
          <w:ilvl w:val="0"/>
          <w:numId w:val="2"/>
        </w:numPr>
        <w:kinsoku/>
        <w:wordWrap/>
        <w:overflowPunct/>
        <w:topLinePunct w:val="0"/>
        <w:autoSpaceDE/>
        <w:autoSpaceDN/>
        <w:bidi w:val="0"/>
        <w:adjustRightInd/>
        <w:snapToGrid/>
        <w:spacing w:line="360" w:lineRule="auto"/>
        <w:ind w:firstLine="640" w:firstLineChars="200"/>
        <w:jc w:val="both"/>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调查内容</w:t>
      </w:r>
    </w:p>
    <w:p w14:paraId="18B4F84A">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firstLineChars="200"/>
        <w:jc w:val="both"/>
        <w:textAlignment w:val="auto"/>
        <w:rPr>
          <w:rFonts w:hint="default"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根据《地质灾害风险调查评价规范（1:50000）》（DZ/T 0438-2023），结合编制组成员在长三角区域地质灾害调查工作经验，认为地质灾害风险调查内容应包括地质灾害致灾体孕灾地质条件和承灾体特征。其中孕灾地质条件主要有地形地貌、地质构造、工程地质岩组类型、斜坡结构类型、地表水与地下水特征、岩土体结构类型、人类工程活动程度等，本标准分别明确了调查内容和要求。</w:t>
      </w:r>
    </w:p>
    <w:p w14:paraId="304631AB">
      <w:pPr>
        <w:keepNext w:val="0"/>
        <w:keepLines w:val="0"/>
        <w:pageBreakBefore w:val="0"/>
        <w:widowControl w:val="0"/>
        <w:numPr>
          <w:ilvl w:val="0"/>
          <w:numId w:val="2"/>
        </w:numPr>
        <w:kinsoku/>
        <w:wordWrap/>
        <w:overflowPunct/>
        <w:topLinePunct w:val="0"/>
        <w:autoSpaceDE/>
        <w:autoSpaceDN/>
        <w:bidi w:val="0"/>
        <w:adjustRightInd/>
        <w:snapToGrid/>
        <w:spacing w:line="360" w:lineRule="auto"/>
        <w:ind w:firstLine="640" w:firstLineChars="200"/>
        <w:jc w:val="both"/>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地质灾害风险评价内容</w:t>
      </w:r>
    </w:p>
    <w:p w14:paraId="1F374E50">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firstLineChars="200"/>
        <w:jc w:val="both"/>
        <w:textAlignment w:val="auto"/>
        <w:rPr>
          <w:rFonts w:hint="default"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根据《地质灾害风险调查评价规范（1:50000）》（DZ/T 0438-2023），结合长三角区域地质灾害防治工作实践，确定地质灾害风险评价应包括易发性、危险性、易损性和风险程度四级开展，其中易发性划分高、中、低、不四个等级，危险性和风险程度划分极高、高、中、低四个等级，易损性评价按结构类型特征定量给出易损性参考区间值。</w:t>
      </w:r>
    </w:p>
    <w:p w14:paraId="624FFA6B">
      <w:pPr>
        <w:keepNext w:val="0"/>
        <w:keepLines w:val="0"/>
        <w:pageBreakBefore w:val="0"/>
        <w:widowControl w:val="0"/>
        <w:numPr>
          <w:ilvl w:val="0"/>
          <w:numId w:val="2"/>
        </w:numPr>
        <w:kinsoku/>
        <w:wordWrap/>
        <w:overflowPunct/>
        <w:topLinePunct w:val="0"/>
        <w:autoSpaceDE/>
        <w:autoSpaceDN/>
        <w:bidi w:val="0"/>
        <w:adjustRightInd/>
        <w:snapToGrid/>
        <w:spacing w:line="360" w:lineRule="auto"/>
        <w:ind w:firstLine="640" w:firstLineChars="200"/>
        <w:jc w:val="both"/>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地质灾害风险评价</w:t>
      </w:r>
      <w:r>
        <w:rPr>
          <w:rFonts w:hint="eastAsia" w:ascii="Times New Roman" w:hAnsi="Times New Roman" w:eastAsia="仿宋_GB2312" w:cs="Times New Roman"/>
          <w:sz w:val="32"/>
          <w:szCs w:val="32"/>
          <w:lang w:val="en-US" w:eastAsia="zh-CN"/>
        </w:rPr>
        <w:t>指标</w:t>
      </w:r>
    </w:p>
    <w:p w14:paraId="4263896E">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firstLineChars="200"/>
        <w:jc w:val="both"/>
        <w:textAlignment w:val="auto"/>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本标准参考浙江省2020年制定出台的《浙江省乡镇（街道）地质灾害风险调查评价技术要求（1:2000）》，选定坡度、坡向、斜坡高差、坡型、覆盖层厚度、岩土体结构类型、斜坡结构类型、与构造间距离、斜坡高度等9项孕灾地质条件指标和降雨强度工况雨量、地质灾害群发阈值雨量等2项地质灾害影响因素指标开展地质灾害风险评价。</w:t>
      </w:r>
    </w:p>
    <w:p w14:paraId="35F9D27F">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640" w:firstLineChars="200"/>
        <w:textAlignment w:val="auto"/>
        <w:outlineLvl w:val="0"/>
        <w:rPr>
          <w:rFonts w:hint="eastAsia" w:ascii="黑体" w:hAnsi="黑体" w:eastAsia="黑体" w:cs="黑体"/>
          <w:kern w:val="2"/>
          <w:sz w:val="32"/>
          <w:szCs w:val="32"/>
          <w:lang w:val="en-US" w:eastAsia="zh-CN" w:bidi="ar-SA"/>
        </w:rPr>
      </w:pPr>
      <w:bookmarkStart w:id="6" w:name="_Toc23057"/>
      <w:r>
        <w:rPr>
          <w:rFonts w:hint="eastAsia" w:ascii="黑体" w:hAnsi="黑体" w:eastAsia="黑体" w:cs="黑体"/>
          <w:kern w:val="2"/>
          <w:sz w:val="32"/>
          <w:szCs w:val="32"/>
          <w:lang w:val="en-US" w:eastAsia="zh-CN" w:bidi="ar-SA"/>
        </w:rPr>
        <w:t>六、采用国际标准和国外先进标准的程度</w:t>
      </w:r>
      <w:bookmarkEnd w:id="6"/>
    </w:p>
    <w:p w14:paraId="725B042F">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firstLineChars="200"/>
        <w:textAlignment w:val="auto"/>
        <w:rPr>
          <w:rFonts w:hint="default" w:ascii="Times New Roman" w:hAnsi="Times New Roman" w:eastAsia="仿宋_GB2312" w:cs="Times New Roman"/>
          <w:kern w:val="2"/>
          <w:sz w:val="32"/>
          <w:szCs w:val="32"/>
          <w:lang w:val="en-US" w:eastAsia="zh-CN" w:bidi="ar-SA"/>
        </w:rPr>
      </w:pPr>
      <w:r>
        <w:rPr>
          <w:rFonts w:hint="default" w:ascii="Times New Roman" w:hAnsi="Times New Roman" w:eastAsia="仿宋_GB2312" w:cs="Times New Roman"/>
          <w:kern w:val="2"/>
          <w:sz w:val="32"/>
          <w:szCs w:val="32"/>
          <w:lang w:val="en-US" w:eastAsia="zh-CN" w:bidi="ar-SA"/>
        </w:rPr>
        <w:t>未采用国际标准，国外无同类标准</w:t>
      </w:r>
      <w:r>
        <w:rPr>
          <w:rFonts w:hint="eastAsia" w:ascii="Times New Roman" w:hAnsi="Times New Roman" w:eastAsia="仿宋_GB2312" w:cs="Times New Roman"/>
          <w:kern w:val="2"/>
          <w:sz w:val="32"/>
          <w:szCs w:val="32"/>
          <w:lang w:val="en-US" w:eastAsia="zh-CN" w:bidi="ar-SA"/>
        </w:rPr>
        <w:t>。</w:t>
      </w:r>
    </w:p>
    <w:p w14:paraId="0275C5D0">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640" w:firstLineChars="200"/>
        <w:textAlignment w:val="auto"/>
        <w:outlineLvl w:val="0"/>
        <w:rPr>
          <w:rFonts w:hint="eastAsia" w:ascii="黑体" w:hAnsi="黑体" w:eastAsia="黑体" w:cs="黑体"/>
          <w:kern w:val="2"/>
          <w:sz w:val="32"/>
          <w:szCs w:val="32"/>
          <w:lang w:val="en-US" w:eastAsia="zh-CN" w:bidi="ar-SA"/>
        </w:rPr>
      </w:pPr>
      <w:bookmarkStart w:id="7" w:name="_Toc29957"/>
      <w:r>
        <w:rPr>
          <w:rFonts w:hint="eastAsia" w:ascii="黑体" w:hAnsi="黑体" w:eastAsia="黑体" w:cs="黑体"/>
          <w:kern w:val="2"/>
          <w:sz w:val="32"/>
          <w:szCs w:val="32"/>
          <w:lang w:val="en-US" w:eastAsia="zh-CN" w:bidi="ar-SA"/>
        </w:rPr>
        <w:t>七、与有关的现行法律、法规和强制性国家标准的关系</w:t>
      </w:r>
      <w:bookmarkEnd w:id="7"/>
    </w:p>
    <w:p w14:paraId="11695F00">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本标准的编制及有关技术条款的确定，符合国家有关法律、法规的要求，与现行国家强制性标准协调一致，是依据《地质灾害防治条例》等法律、行政法规、标准规范制定。</w:t>
      </w:r>
    </w:p>
    <w:p w14:paraId="2E69C4E6">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本标准在编制过程中，搜集了与地质灾害、工程地质条件、风险评价等，尤其是地质灾害、风险评价相关的国内外相关文献、国家及地方的政策法规和技术标准，作为编写的依据或参考。主要引用了</w:t>
      </w:r>
      <w:r>
        <w:rPr>
          <w:rFonts w:hint="default" w:ascii="Times New Roman" w:hAnsi="Times New Roman" w:eastAsia="仿宋_GB2312" w:cs="Times New Roman"/>
          <w:sz w:val="32"/>
          <w:szCs w:val="32"/>
          <w:lang w:val="en-US" w:eastAsia="zh-CN"/>
        </w:rPr>
        <w:t>《地质灾害危险性评估规范》（GB/T 40112—2021）</w:t>
      </w:r>
      <w:r>
        <w:rPr>
          <w:rFonts w:hint="eastAsia" w:ascii="Times New Roman" w:hAnsi="Times New Roman" w:eastAsia="仿宋_GB2312" w:cs="Times New Roman"/>
          <w:sz w:val="32"/>
          <w:szCs w:val="32"/>
          <w:lang w:val="en-US" w:eastAsia="zh-CN"/>
        </w:rPr>
        <w:t>、《地质灾害风险调查评价规范（1:50000）》（DZ/T 0438-2023）、</w:t>
      </w:r>
      <w:r>
        <w:rPr>
          <w:rFonts w:hint="eastAsia" w:ascii="Times New Roman" w:hAnsi="Times New Roman" w:eastAsia="仿宋_GB2312" w:cs="Times New Roman"/>
          <w:kern w:val="2"/>
          <w:sz w:val="32"/>
          <w:szCs w:val="32"/>
          <w:lang w:val="en-US" w:eastAsia="zh-CN" w:bidi="ar-SA"/>
        </w:rPr>
        <w:t>《滑坡崩塌泥石流灾害调查规范（1：50000）（DZ/T 0261）》、《岩土工程勘察规范》（GB 50021）、《地面沉降调查与监测规范（DZ/T0283）、《泥石流灾害防治工程勘查规范》（DZ/T0220）、《岩溶塌陷调查规范（1：50 000）》（DZ/T 0447-2023）等国家和行业最新标准，不存在冲突和矛盾。</w:t>
      </w:r>
    </w:p>
    <w:p w14:paraId="58E8BC89">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640" w:firstLineChars="200"/>
        <w:textAlignment w:val="auto"/>
        <w:outlineLvl w:val="0"/>
        <w:rPr>
          <w:rFonts w:hint="eastAsia" w:ascii="黑体" w:hAnsi="黑体" w:eastAsia="黑体" w:cs="黑体"/>
          <w:kern w:val="2"/>
          <w:sz w:val="32"/>
          <w:szCs w:val="32"/>
          <w:lang w:val="en-US" w:eastAsia="zh-CN" w:bidi="ar-SA"/>
        </w:rPr>
      </w:pPr>
      <w:bookmarkStart w:id="8" w:name="_Toc20348"/>
      <w:r>
        <w:rPr>
          <w:rFonts w:hint="eastAsia" w:ascii="黑体" w:hAnsi="黑体" w:eastAsia="黑体" w:cs="黑体"/>
          <w:kern w:val="2"/>
          <w:sz w:val="32"/>
          <w:szCs w:val="32"/>
          <w:lang w:val="en-US" w:eastAsia="zh-CN" w:bidi="ar-SA"/>
        </w:rPr>
        <w:t>八、重大分歧意见的处理经过和依据</w:t>
      </w:r>
      <w:bookmarkEnd w:id="8"/>
    </w:p>
    <w:p w14:paraId="0036D92B">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firstLineChars="200"/>
        <w:jc w:val="both"/>
        <w:textAlignment w:val="auto"/>
        <w:rPr>
          <w:rFonts w:hint="default"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无。</w:t>
      </w:r>
    </w:p>
    <w:p w14:paraId="2627A787">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640" w:firstLineChars="200"/>
        <w:textAlignment w:val="auto"/>
        <w:outlineLvl w:val="0"/>
        <w:rPr>
          <w:rFonts w:hint="eastAsia" w:ascii="黑体" w:hAnsi="黑体" w:eastAsia="黑体" w:cs="黑体"/>
          <w:kern w:val="2"/>
          <w:sz w:val="32"/>
          <w:szCs w:val="32"/>
          <w:lang w:val="en-US" w:eastAsia="zh-CN" w:bidi="ar-SA"/>
        </w:rPr>
      </w:pPr>
      <w:bookmarkStart w:id="9" w:name="_Toc913"/>
      <w:r>
        <w:rPr>
          <w:rFonts w:hint="eastAsia" w:ascii="黑体" w:hAnsi="黑体" w:eastAsia="黑体" w:cs="黑体"/>
          <w:kern w:val="2"/>
          <w:sz w:val="32"/>
          <w:szCs w:val="32"/>
          <w:lang w:val="en-US" w:eastAsia="zh-CN" w:bidi="ar-SA"/>
        </w:rPr>
        <w:t>九、作为强制标准或推荐性标准的建议</w:t>
      </w:r>
      <w:bookmarkEnd w:id="9"/>
    </w:p>
    <w:p w14:paraId="4BE8C236">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firstLineChars="200"/>
        <w:jc w:val="both"/>
        <w:textAlignment w:val="auto"/>
        <w:rPr>
          <w:rFonts w:hint="default" w:ascii="Times New Roman" w:hAnsi="Times New Roman" w:eastAsia="仿宋_GB2312" w:cs="Times New Roman"/>
          <w:kern w:val="2"/>
          <w:sz w:val="32"/>
          <w:szCs w:val="32"/>
          <w:lang w:val="en-US" w:eastAsia="zh-CN" w:bidi="ar-SA"/>
        </w:rPr>
      </w:pPr>
      <w:r>
        <w:rPr>
          <w:rFonts w:hint="default" w:ascii="Times New Roman" w:hAnsi="Times New Roman" w:eastAsia="仿宋_GB2312" w:cs="Times New Roman"/>
          <w:kern w:val="2"/>
          <w:sz w:val="32"/>
          <w:szCs w:val="32"/>
          <w:lang w:val="en-US" w:eastAsia="zh-CN" w:bidi="ar-SA"/>
        </w:rPr>
        <w:t>建议本标准作为推荐性地方标准发布，可作为地质灾害风险调查工作中重要参考依据和准则</w:t>
      </w:r>
      <w:r>
        <w:rPr>
          <w:rFonts w:hint="eastAsia" w:ascii="Times New Roman" w:hAnsi="Times New Roman" w:eastAsia="仿宋_GB2312" w:cs="Times New Roman"/>
          <w:kern w:val="2"/>
          <w:sz w:val="32"/>
          <w:szCs w:val="32"/>
          <w:lang w:val="en-US" w:eastAsia="zh-CN" w:bidi="ar-SA"/>
        </w:rPr>
        <w:t>，</w:t>
      </w:r>
      <w:r>
        <w:rPr>
          <w:rFonts w:hint="default" w:ascii="Times New Roman" w:hAnsi="Times New Roman" w:eastAsia="仿宋_GB2312" w:cs="Times New Roman"/>
          <w:kern w:val="2"/>
          <w:sz w:val="32"/>
          <w:szCs w:val="32"/>
          <w:lang w:val="en-US" w:eastAsia="zh-CN" w:bidi="ar-SA"/>
        </w:rPr>
        <w:t>在</w:t>
      </w:r>
      <w:r>
        <w:rPr>
          <w:rFonts w:hint="eastAsia" w:ascii="Times New Roman" w:hAnsi="Times New Roman" w:eastAsia="仿宋_GB2312" w:cs="Times New Roman"/>
          <w:kern w:val="2"/>
          <w:sz w:val="32"/>
          <w:szCs w:val="32"/>
          <w:lang w:val="en-US" w:eastAsia="zh-CN" w:bidi="ar-SA"/>
        </w:rPr>
        <w:t>长三角</w:t>
      </w:r>
      <w:r>
        <w:rPr>
          <w:rFonts w:hint="default" w:ascii="Times New Roman" w:hAnsi="Times New Roman" w:eastAsia="仿宋_GB2312" w:cs="Times New Roman"/>
          <w:kern w:val="2"/>
          <w:sz w:val="32"/>
          <w:szCs w:val="32"/>
          <w:lang w:val="en-US" w:eastAsia="zh-CN" w:bidi="ar-SA"/>
        </w:rPr>
        <w:t>范围内推广使</w:t>
      </w:r>
      <w:r>
        <w:rPr>
          <w:rFonts w:hint="eastAsia" w:ascii="Times New Roman" w:hAnsi="Times New Roman" w:eastAsia="仿宋_GB2312" w:cs="Times New Roman"/>
          <w:kern w:val="2"/>
          <w:sz w:val="32"/>
          <w:szCs w:val="32"/>
          <w:lang w:val="en-US" w:eastAsia="zh-CN" w:bidi="ar-SA"/>
        </w:rPr>
        <w:t>用。建议各施工单位在贯彻执行本规范时，可根据实际情况制定某些实施细则或补充要求。</w:t>
      </w:r>
    </w:p>
    <w:p w14:paraId="141E69AE">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640" w:firstLineChars="200"/>
        <w:textAlignment w:val="auto"/>
        <w:outlineLvl w:val="0"/>
        <w:rPr>
          <w:rFonts w:hint="eastAsia" w:ascii="黑体" w:hAnsi="黑体" w:eastAsia="黑体" w:cs="黑体"/>
          <w:kern w:val="2"/>
          <w:sz w:val="32"/>
          <w:szCs w:val="32"/>
          <w:lang w:val="en-US" w:eastAsia="zh-CN" w:bidi="ar-SA"/>
        </w:rPr>
      </w:pPr>
      <w:bookmarkStart w:id="10" w:name="_Toc3224"/>
      <w:r>
        <w:rPr>
          <w:rFonts w:hint="eastAsia" w:ascii="黑体" w:hAnsi="黑体" w:eastAsia="黑体" w:cs="黑体"/>
          <w:kern w:val="2"/>
          <w:sz w:val="32"/>
          <w:szCs w:val="32"/>
          <w:lang w:val="en-US" w:eastAsia="zh-CN" w:bidi="ar-SA"/>
        </w:rPr>
        <w:t>十、宣贯标准的要求和措施建议</w:t>
      </w:r>
      <w:bookmarkEnd w:id="10"/>
    </w:p>
    <w:p w14:paraId="236E5617">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firstLineChars="200"/>
        <w:jc w:val="both"/>
        <w:textAlignment w:val="auto"/>
        <w:rPr>
          <w:rFonts w:hint="default" w:ascii="Times New Roman" w:hAnsi="Times New Roman" w:eastAsia="仿宋_GB2312" w:cs="Times New Roman"/>
          <w:kern w:val="2"/>
          <w:sz w:val="32"/>
          <w:szCs w:val="32"/>
          <w:lang w:val="en-US" w:eastAsia="zh-CN" w:bidi="ar-SA"/>
        </w:rPr>
      </w:pPr>
      <w:r>
        <w:rPr>
          <w:rFonts w:hint="default" w:ascii="Times New Roman" w:hAnsi="Times New Roman" w:eastAsia="仿宋_GB2312" w:cs="Times New Roman"/>
          <w:kern w:val="2"/>
          <w:sz w:val="32"/>
          <w:szCs w:val="32"/>
          <w:lang w:val="en-US" w:eastAsia="zh-CN" w:bidi="ar-SA"/>
        </w:rPr>
        <w:t>为贯彻标准，建议</w:t>
      </w:r>
      <w:r>
        <w:rPr>
          <w:rFonts w:hint="eastAsia" w:ascii="Times New Roman" w:hAnsi="Times New Roman" w:eastAsia="仿宋_GB2312" w:cs="Times New Roman"/>
          <w:kern w:val="2"/>
          <w:sz w:val="32"/>
          <w:szCs w:val="32"/>
          <w:lang w:val="en-US" w:eastAsia="zh-CN" w:bidi="ar-SA"/>
        </w:rPr>
        <w:t>本</w:t>
      </w:r>
      <w:r>
        <w:rPr>
          <w:rFonts w:hint="default" w:ascii="Times New Roman" w:hAnsi="Times New Roman" w:eastAsia="仿宋_GB2312" w:cs="Times New Roman"/>
          <w:kern w:val="2"/>
          <w:sz w:val="32"/>
          <w:szCs w:val="32"/>
          <w:lang w:val="en-US" w:eastAsia="zh-CN" w:bidi="ar-SA"/>
        </w:rPr>
        <w:t>标准发布后，由</w:t>
      </w:r>
      <w:r>
        <w:rPr>
          <w:rFonts w:hint="eastAsia" w:ascii="Times New Roman" w:hAnsi="Times New Roman" w:eastAsia="仿宋_GB2312" w:cs="Times New Roman"/>
          <w:kern w:val="2"/>
          <w:sz w:val="32"/>
          <w:szCs w:val="32"/>
          <w:lang w:val="en-US" w:eastAsia="zh-CN" w:bidi="ar-SA"/>
        </w:rPr>
        <w:t>长三角三省一市</w:t>
      </w:r>
      <w:r>
        <w:rPr>
          <w:rFonts w:hint="default" w:ascii="Times New Roman" w:hAnsi="Times New Roman" w:eastAsia="仿宋_GB2312" w:cs="Times New Roman"/>
          <w:kern w:val="2"/>
          <w:sz w:val="32"/>
          <w:szCs w:val="32"/>
          <w:lang w:val="en-US" w:eastAsia="zh-CN" w:bidi="ar-SA"/>
        </w:rPr>
        <w:t>标准化技术委员会提请</w:t>
      </w:r>
      <w:r>
        <w:rPr>
          <w:rFonts w:hint="eastAsia" w:ascii="Times New Roman" w:hAnsi="Times New Roman" w:eastAsia="仿宋_GB2312" w:cs="Times New Roman"/>
          <w:kern w:val="2"/>
          <w:sz w:val="32"/>
          <w:szCs w:val="32"/>
          <w:lang w:val="en-US" w:eastAsia="zh-CN" w:bidi="ar-SA"/>
        </w:rPr>
        <w:t>自然资源部门</w:t>
      </w:r>
      <w:r>
        <w:rPr>
          <w:rFonts w:hint="default" w:ascii="Times New Roman" w:hAnsi="Times New Roman" w:eastAsia="仿宋_GB2312" w:cs="Times New Roman"/>
          <w:kern w:val="2"/>
          <w:sz w:val="32"/>
          <w:szCs w:val="32"/>
          <w:lang w:val="en-US" w:eastAsia="zh-CN" w:bidi="ar-SA"/>
        </w:rPr>
        <w:t>适时发布贯标的通知，并委托起草单位组织培训，切实推动这项行业标准的贯彻实施</w:t>
      </w:r>
      <w:r>
        <w:rPr>
          <w:rFonts w:hint="eastAsia" w:ascii="Times New Roman" w:hAnsi="Times New Roman" w:eastAsia="仿宋_GB2312" w:cs="Times New Roman"/>
          <w:kern w:val="2"/>
          <w:sz w:val="32"/>
          <w:szCs w:val="32"/>
          <w:lang w:val="en-US" w:eastAsia="zh-CN" w:bidi="ar-SA"/>
        </w:rPr>
        <w:t>。</w:t>
      </w:r>
    </w:p>
    <w:p w14:paraId="66F78C72">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640" w:firstLineChars="200"/>
        <w:textAlignment w:val="auto"/>
        <w:outlineLvl w:val="0"/>
        <w:rPr>
          <w:rFonts w:hint="default" w:ascii="黑体" w:hAnsi="黑体" w:eastAsia="黑体" w:cs="黑体"/>
          <w:kern w:val="2"/>
          <w:sz w:val="32"/>
          <w:szCs w:val="32"/>
          <w:lang w:val="en-US" w:eastAsia="zh-CN" w:bidi="ar-SA"/>
        </w:rPr>
      </w:pPr>
      <w:bookmarkStart w:id="11" w:name="_Toc29340"/>
      <w:r>
        <w:rPr>
          <w:rFonts w:hint="eastAsia" w:ascii="黑体" w:hAnsi="黑体" w:eastAsia="黑体" w:cs="黑体"/>
          <w:kern w:val="2"/>
          <w:sz w:val="32"/>
          <w:szCs w:val="32"/>
          <w:lang w:val="en-US" w:eastAsia="zh-CN" w:bidi="ar-SA"/>
        </w:rPr>
        <w:t>十一、废止现行有关标准的建议</w:t>
      </w:r>
      <w:bookmarkEnd w:id="11"/>
    </w:p>
    <w:p w14:paraId="50E59200">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firstLineChars="200"/>
        <w:textAlignment w:val="auto"/>
        <w:rPr>
          <w:rFonts w:hint="default"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无。</w:t>
      </w:r>
    </w:p>
    <w:p w14:paraId="0DF73423">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firstLineChars="200"/>
        <w:jc w:val="both"/>
        <w:textAlignment w:val="auto"/>
        <w:rPr>
          <w:rFonts w:hint="default" w:ascii="Times New Roman" w:hAnsi="Times New Roman" w:eastAsia="仿宋_GB2312" w:cs="Times New Roman"/>
          <w:sz w:val="32"/>
          <w:szCs w:val="32"/>
          <w:lang w:val="en-US" w:eastAsia="zh-CN"/>
        </w:rPr>
      </w:pPr>
    </w:p>
    <w:sectPr>
      <w:footerReference r:id="rId4" w:type="default"/>
      <w:pgSz w:w="11906" w:h="16838"/>
      <w:pgMar w:top="1440" w:right="1800" w:bottom="1440" w:left="1800"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6AAA47">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FF4DCD1">
                          <w:pPr>
                            <w:pStyle w:val="2"/>
                            <w:rPr>
                              <w:rFonts w:hint="default" w:ascii="Times New Roman" w:hAnsi="Times New Roman" w:cs="Times New Roman"/>
                              <w:sz w:val="24"/>
                              <w:szCs w:val="24"/>
                            </w:rPr>
                          </w:pP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7FF4DCD1">
                    <w:pPr>
                      <w:pStyle w:val="2"/>
                      <w:rPr>
                        <w:rFonts w:hint="default" w:ascii="Times New Roman" w:hAnsi="Times New Roman" w:cs="Times New Roman"/>
                        <w:sz w:val="24"/>
                        <w:szCs w:val="24"/>
                      </w:rPr>
                    </w:pP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700E75">
    <w:pPr>
      <w:pStyle w:val="2"/>
    </w:pPr>
    <w:r>
      <w:rPr>
        <w:sz w:val="18"/>
      </w:rP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98D99EB">
                          <w:pPr>
                            <w:pStyle w:val="2"/>
                            <w:rPr>
                              <w:rFonts w:hint="default" w:ascii="Times New Roman" w:hAnsi="Times New Roman" w:cs="Times New Roman"/>
                              <w:sz w:val="24"/>
                              <w:szCs w:val="24"/>
                            </w:rPr>
                          </w:pPr>
                          <w:r>
                            <w:rPr>
                              <w:rFonts w:hint="default" w:ascii="Times New Roman" w:hAnsi="Times New Roman" w:cs="Times New Roman"/>
                              <w:sz w:val="24"/>
                              <w:szCs w:val="24"/>
                            </w:rPr>
                            <w:t xml:space="preserve">— </w:t>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PAGE  \* MERGEFORMAT </w:instrText>
                          </w:r>
                          <w:r>
                            <w:rPr>
                              <w:rFonts w:hint="default" w:ascii="Times New Roman" w:hAnsi="Times New Roman" w:cs="Times New Roman"/>
                              <w:sz w:val="24"/>
                              <w:szCs w:val="24"/>
                            </w:rPr>
                            <w:fldChar w:fldCharType="separate"/>
                          </w:r>
                          <w:r>
                            <w:rPr>
                              <w:rFonts w:hint="default" w:ascii="Times New Roman" w:hAnsi="Times New Roman" w:cs="Times New Roman"/>
                              <w:sz w:val="24"/>
                              <w:szCs w:val="24"/>
                            </w:rPr>
                            <w:t>1</w:t>
                          </w:r>
                          <w:r>
                            <w:rPr>
                              <w:rFonts w:hint="default" w:ascii="Times New Roman" w:hAnsi="Times New Roman" w:cs="Times New Roman"/>
                              <w:sz w:val="24"/>
                              <w:szCs w:val="24"/>
                            </w:rPr>
                            <w:fldChar w:fldCharType="end"/>
                          </w:r>
                          <w:r>
                            <w:rPr>
                              <w:rFonts w:hint="default" w:ascii="Times New Roman" w:hAnsi="Times New Roman" w:cs="Times New Roman"/>
                              <w:sz w:val="24"/>
                              <w:szCs w:val="24"/>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798D99EB">
                    <w:pPr>
                      <w:pStyle w:val="2"/>
                      <w:rPr>
                        <w:rFonts w:hint="default" w:ascii="Times New Roman" w:hAnsi="Times New Roman" w:cs="Times New Roman"/>
                        <w:sz w:val="24"/>
                        <w:szCs w:val="24"/>
                      </w:rPr>
                    </w:pPr>
                    <w:r>
                      <w:rPr>
                        <w:rFonts w:hint="default" w:ascii="Times New Roman" w:hAnsi="Times New Roman" w:cs="Times New Roman"/>
                        <w:sz w:val="24"/>
                        <w:szCs w:val="24"/>
                      </w:rPr>
                      <w:t xml:space="preserve">— </w:t>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PAGE  \* MERGEFORMAT </w:instrText>
                    </w:r>
                    <w:r>
                      <w:rPr>
                        <w:rFonts w:hint="default" w:ascii="Times New Roman" w:hAnsi="Times New Roman" w:cs="Times New Roman"/>
                        <w:sz w:val="24"/>
                        <w:szCs w:val="24"/>
                      </w:rPr>
                      <w:fldChar w:fldCharType="separate"/>
                    </w:r>
                    <w:r>
                      <w:rPr>
                        <w:rFonts w:hint="default" w:ascii="Times New Roman" w:hAnsi="Times New Roman" w:cs="Times New Roman"/>
                        <w:sz w:val="24"/>
                        <w:szCs w:val="24"/>
                      </w:rPr>
                      <w:t>1</w:t>
                    </w:r>
                    <w:r>
                      <w:rPr>
                        <w:rFonts w:hint="default" w:ascii="Times New Roman" w:hAnsi="Times New Roman" w:cs="Times New Roman"/>
                        <w:sz w:val="24"/>
                        <w:szCs w:val="24"/>
                      </w:rPr>
                      <w:fldChar w:fldCharType="end"/>
                    </w:r>
                    <w:r>
                      <w:rPr>
                        <w:rFonts w:hint="default" w:ascii="Times New Roman" w:hAnsi="Times New Roman" w:cs="Times New Roman"/>
                        <w:sz w:val="24"/>
                        <w:szCs w:val="24"/>
                      </w:rPr>
                      <w:t xml:space="preserve"> —</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F3EC029"/>
    <w:multiLevelType w:val="multilevel"/>
    <w:tmpl w:val="AF3EC029"/>
    <w:lvl w:ilvl="0" w:tentative="0">
      <w:start w:val="1"/>
      <w:numFmt w:val="none"/>
      <w:suff w:val="nothing"/>
      <w:lvlText w:val="%1"/>
      <w:lvlJc w:val="left"/>
      <w:pPr>
        <w:ind w:left="0" w:firstLine="0"/>
      </w:pPr>
    </w:lvl>
    <w:lvl w:ilvl="1" w:tentative="0">
      <w:start w:val="1"/>
      <w:numFmt w:val="decimal"/>
      <w:pStyle w:val="6"/>
      <w:suff w:val="nothing"/>
      <w:lvlText w:val="%1%2　"/>
      <w:lvlJc w:val="left"/>
      <w:pPr>
        <w:ind w:left="0" w:firstLine="0"/>
      </w:pPr>
      <w:rPr>
        <w:rFonts w:hint="eastAsia" w:ascii="黑体" w:hAnsi="Times New Roman" w:eastAsia="黑体" w:cs="黑体"/>
        <w:b w:val="0"/>
        <w:i w:val="0"/>
        <w:sz w:val="21"/>
      </w:rPr>
    </w:lvl>
    <w:lvl w:ilvl="2" w:tentative="0">
      <w:start w:val="1"/>
      <w:numFmt w:val="decimal"/>
      <w:suff w:val="nothing"/>
      <w:lvlText w:val="%1%2.%3　"/>
      <w:lvlJc w:val="left"/>
      <w:pPr>
        <w:ind w:left="0" w:firstLine="0"/>
        <w:textAlignment w:val="baseline"/>
      </w:pPr>
      <w:rPr>
        <w:rFonts w:hint="eastAsia" w:ascii="黑体" w:hAnsi="Times New Roman" w:eastAsia="黑体" w:cs="Times New Roman"/>
        <w:b w:val="0"/>
        <w:bCs w:val="0"/>
        <w:i w:val="0"/>
        <w:iCs w:val="0"/>
        <w:caps w:val="0"/>
        <w:strike w:val="0"/>
        <w:dstrike w:val="0"/>
        <w:vanish w:val="0"/>
        <w:color w:val="000000"/>
        <w:spacing w:val="0"/>
        <w:kern w:val="0"/>
        <w:position w:val="0"/>
        <w:sz w:val="21"/>
        <w:u w:val="none"/>
      </w:rPr>
    </w:lvl>
    <w:lvl w:ilvl="3" w:tentative="0">
      <w:start w:val="1"/>
      <w:numFmt w:val="decimal"/>
      <w:suff w:val="nothing"/>
      <w:lvlText w:val="%1%2.%3.%4　"/>
      <w:lvlJc w:val="left"/>
      <w:pPr>
        <w:ind w:left="0" w:firstLine="0"/>
      </w:pPr>
      <w:rPr>
        <w:rFonts w:hint="eastAsia" w:ascii="黑体" w:hAnsi="Times New Roman" w:eastAsia="黑体" w:cs="黑体"/>
        <w:b w:val="0"/>
        <w:i w:val="0"/>
        <w:sz w:val="21"/>
      </w:rPr>
    </w:lvl>
    <w:lvl w:ilvl="4" w:tentative="0">
      <w:start w:val="1"/>
      <w:numFmt w:val="decimal"/>
      <w:suff w:val="nothing"/>
      <w:lvlText w:val="%1%2.%3.%4.%5　"/>
      <w:lvlJc w:val="left"/>
      <w:pPr>
        <w:ind w:left="0" w:firstLine="0"/>
      </w:pPr>
      <w:rPr>
        <w:rFonts w:hint="eastAsia" w:ascii="黑体" w:hAnsi="Times New Roman" w:eastAsia="黑体" w:cs="黑体"/>
        <w:b w:val="0"/>
        <w:i w:val="0"/>
        <w:sz w:val="21"/>
      </w:rPr>
    </w:lvl>
    <w:lvl w:ilvl="5" w:tentative="0">
      <w:start w:val="1"/>
      <w:numFmt w:val="decimal"/>
      <w:suff w:val="nothing"/>
      <w:lvlText w:val="%1%2.%3.%4.%5.%6　"/>
      <w:lvlJc w:val="left"/>
      <w:pPr>
        <w:ind w:left="0" w:firstLine="0"/>
      </w:pPr>
      <w:rPr>
        <w:rFonts w:hint="eastAsia" w:ascii="黑体" w:hAnsi="Times New Roman" w:eastAsia="黑体" w:cs="黑体"/>
        <w:b w:val="0"/>
        <w:i w:val="0"/>
        <w:sz w:val="21"/>
      </w:rPr>
    </w:lvl>
    <w:lvl w:ilvl="6" w:tentative="0">
      <w:start w:val="1"/>
      <w:numFmt w:val="decimal"/>
      <w:suff w:val="nothing"/>
      <w:lvlText w:val="%1%2.%3.%4.%5.%6.%7　"/>
      <w:lvlJc w:val="left"/>
      <w:pPr>
        <w:ind w:left="0" w:firstLine="0"/>
      </w:pPr>
      <w:rPr>
        <w:rFonts w:hint="eastAsia" w:ascii="黑体" w:hAnsi="Times New Roman" w:eastAsia="黑体" w:cs="黑体"/>
        <w:b w:val="0"/>
        <w:i w:val="0"/>
        <w:sz w:val="21"/>
      </w:rPr>
    </w:lvl>
    <w:lvl w:ilvl="7" w:tentative="0">
      <w:start w:val="1"/>
      <w:numFmt w:val="decimal"/>
      <w:lvlText w:val="%1.%2.%3.%4.%5.%6.%7.%8"/>
      <w:lvlJc w:val="left"/>
      <w:pPr>
        <w:tabs>
          <w:tab w:val="left" w:pos="4351"/>
        </w:tabs>
        <w:ind w:left="3972" w:hanging="1418"/>
      </w:pPr>
    </w:lvl>
    <w:lvl w:ilvl="8" w:tentative="0">
      <w:start w:val="1"/>
      <w:numFmt w:val="decimal"/>
      <w:lvlText w:val="%1.%2.%3.%4.%5.%6.%7.%8.%9"/>
      <w:lvlJc w:val="left"/>
      <w:pPr>
        <w:tabs>
          <w:tab w:val="left" w:pos="4777"/>
        </w:tabs>
        <w:ind w:left="4677" w:hanging="1700"/>
      </w:pPr>
    </w:lvl>
  </w:abstractNum>
  <w:abstractNum w:abstractNumId="1">
    <w:nsid w:val="3DB5DE6B"/>
    <w:multiLevelType w:val="singleLevel"/>
    <w:tmpl w:val="3DB5DE6B"/>
    <w:lvl w:ilvl="0" w:tentative="0">
      <w:start w:val="2"/>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gzMzM2OTQwZDYwN2I5NmUyNWUwYWRiMDQ4MDY3YWMifQ=="/>
  </w:docVars>
  <w:rsids>
    <w:rsidRoot w:val="3F741D27"/>
    <w:rsid w:val="01830AC1"/>
    <w:rsid w:val="01AA30E2"/>
    <w:rsid w:val="15974E36"/>
    <w:rsid w:val="20340999"/>
    <w:rsid w:val="230E7092"/>
    <w:rsid w:val="2DA96364"/>
    <w:rsid w:val="33970BE0"/>
    <w:rsid w:val="3ADA2B83"/>
    <w:rsid w:val="3C411EA0"/>
    <w:rsid w:val="3F741D27"/>
    <w:rsid w:val="43495B30"/>
    <w:rsid w:val="4C687C65"/>
    <w:rsid w:val="69321264"/>
    <w:rsid w:val="69B50E10"/>
    <w:rsid w:val="6A1544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pPr>
      <w:keepNext w:val="0"/>
      <w:keepLines w:val="0"/>
      <w:widowControl/>
      <w:suppressLineNumbers w:val="0"/>
      <w:spacing w:before="0" w:beforeAutospacing="0" w:after="0" w:afterAutospacing="0"/>
      <w:ind w:left="0" w:right="0"/>
    </w:pPr>
    <w:rPr>
      <w:rFonts w:hint="default" w:ascii="Calibri" w:hAnsi="Calibri" w:cs="Times New Roman"/>
      <w:sz w:val="20"/>
      <w:szCs w:val="20"/>
    </w:rPr>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6">
    <w:name w:val="标准文件_章标题"/>
    <w:basedOn w:val="1"/>
    <w:next w:val="1"/>
    <w:qFormat/>
    <w:uiPriority w:val="0"/>
    <w:pPr>
      <w:keepNext w:val="0"/>
      <w:keepLines w:val="0"/>
      <w:widowControl/>
      <w:numPr>
        <w:ilvl w:val="1"/>
        <w:numId w:val="1"/>
      </w:numPr>
      <w:suppressLineNumbers w:val="0"/>
      <w:adjustRightInd/>
      <w:spacing w:before="100" w:beforeLines="100" w:beforeAutospacing="0" w:after="100" w:afterLines="100" w:afterAutospacing="0" w:line="240" w:lineRule="auto"/>
      <w:ind w:left="0" w:right="0" w:firstLine="0"/>
      <w:jc w:val="both"/>
      <w:outlineLvl w:val="0"/>
    </w:pPr>
    <w:rPr>
      <w:rFonts w:hint="eastAsia" w:ascii="黑体" w:hAnsi="Times New Roman" w:eastAsia="黑体" w:cs="Times New Roman"/>
      <w:kern w:val="0"/>
      <w:sz w:val="21"/>
      <w:szCs w:val="20"/>
      <w:lang w:val="en-US" w:eastAsia="zh-CN" w:bidi="ar"/>
    </w:rPr>
  </w:style>
  <w:style w:type="paragraph" w:customStyle="1" w:styleId="7">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12</Pages>
  <Words>4747</Words>
  <Characters>5145</Characters>
  <Lines>0</Lines>
  <Paragraphs>0</Paragraphs>
  <TotalTime>25</TotalTime>
  <ScaleCrop>false</ScaleCrop>
  <LinksUpToDate>false</LinksUpToDate>
  <CharactersWithSpaces>5196</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2024-09-02T11:14:00Z</dcterms:created>
  <dc:creator>MaoYF</dc:creator>
  <cp:lastModifiedBy>MaoYF</cp:lastModifiedBy>
  <dcterms:modified xsi:type="dcterms:W3CDTF">2024-09-25T05:59:40Z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ADCB872BCA1A4AC2A78478F847E92466_11</vt:lpwstr>
  </property>
</Properties>
</file>